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82462" w14:textId="28F29469"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 xml:space="preserve">G1 </w:t>
      </w:r>
      <w:r w:rsidR="007629A0">
        <w:rPr>
          <w:rStyle w:val="Emphasis"/>
          <w:rFonts w:eastAsiaTheme="minorEastAsia" w:hint="eastAsia"/>
          <w:b/>
          <w:i w:val="0"/>
          <w:sz w:val="22"/>
          <w:lang w:eastAsia="zh-TW"/>
        </w:rPr>
        <w:t xml:space="preserve">Meeting </w:t>
      </w:r>
      <w:r w:rsidR="00B33BFF">
        <w:rPr>
          <w:rStyle w:val="Emphasis"/>
          <w:rFonts w:eastAsiaTheme="minorEastAsia"/>
          <w:b/>
          <w:i w:val="0"/>
          <w:sz w:val="22"/>
          <w:lang w:eastAsia="zh-TW"/>
        </w:rPr>
        <w:t>#9</w:t>
      </w:r>
      <w:r w:rsidR="00F77448">
        <w:rPr>
          <w:rStyle w:val="Emphasis"/>
          <w:rFonts w:eastAsiaTheme="minorEastAsia"/>
          <w:b/>
          <w:i w:val="0"/>
          <w:sz w:val="22"/>
          <w:lang w:eastAsia="zh-TW"/>
        </w:rPr>
        <w:t>8</w:t>
      </w:r>
      <w:r w:rsidR="00D6786C">
        <w:rPr>
          <w:rStyle w:val="Emphasis"/>
          <w:rFonts w:eastAsiaTheme="minorEastAsia"/>
          <w:b/>
          <w:i w:val="0"/>
          <w:sz w:val="22"/>
          <w:lang w:eastAsia="zh-TW"/>
        </w:rPr>
        <w:t>bis</w:t>
      </w:r>
      <w:r w:rsidRPr="00A41770">
        <w:rPr>
          <w:rStyle w:val="Emphasis"/>
          <w:b/>
          <w:i w:val="0"/>
          <w:sz w:val="22"/>
        </w:rPr>
        <w:tab/>
      </w:r>
      <w:r w:rsidR="00386F79" w:rsidRPr="00386F79">
        <w:rPr>
          <w:rStyle w:val="Emphasis"/>
          <w:b/>
          <w:i w:val="0"/>
          <w:sz w:val="22"/>
        </w:rPr>
        <w:t>R1-</w:t>
      </w:r>
      <w:r w:rsidR="00CA6A85">
        <w:rPr>
          <w:rStyle w:val="Emphasis"/>
          <w:b/>
          <w:i w:val="0"/>
          <w:sz w:val="22"/>
        </w:rPr>
        <w:t>19</w:t>
      </w:r>
      <w:r w:rsidR="00084F99">
        <w:rPr>
          <w:rStyle w:val="Emphasis"/>
          <w:b/>
          <w:i w:val="0"/>
          <w:sz w:val="22"/>
        </w:rPr>
        <w:t>11067</w:t>
      </w:r>
    </w:p>
    <w:p w14:paraId="52589413" w14:textId="21AEA3E4" w:rsidR="008A6BAD" w:rsidRPr="00051139" w:rsidRDefault="00D6786C" w:rsidP="008A6BAD">
      <w:pPr>
        <w:tabs>
          <w:tab w:val="right" w:pos="9630"/>
        </w:tabs>
        <w:spacing w:after="0"/>
        <w:jc w:val="both"/>
        <w:rPr>
          <w:rStyle w:val="Emphasis"/>
          <w:rFonts w:eastAsiaTheme="minorEastAsia"/>
          <w:b/>
          <w:i w:val="0"/>
          <w:sz w:val="22"/>
          <w:lang w:eastAsia="zh-TW"/>
        </w:rPr>
      </w:pPr>
      <w:r>
        <w:rPr>
          <w:rStyle w:val="Emphasis"/>
          <w:rFonts w:eastAsia="新細明體"/>
          <w:b/>
          <w:i w:val="0"/>
          <w:sz w:val="22"/>
          <w:lang w:eastAsia="zh-TW"/>
        </w:rPr>
        <w:t>Chongqing</w:t>
      </w:r>
      <w:r w:rsidR="00386F79" w:rsidRPr="009B36C4">
        <w:rPr>
          <w:rStyle w:val="Emphasis"/>
          <w:rFonts w:eastAsia="新細明體"/>
          <w:b/>
          <w:i w:val="0"/>
          <w:sz w:val="22"/>
          <w:lang w:eastAsia="zh-TW"/>
        </w:rPr>
        <w:t xml:space="preserve">, </w:t>
      </w:r>
      <w:r>
        <w:rPr>
          <w:rStyle w:val="Emphasis"/>
          <w:rFonts w:eastAsia="新細明體"/>
          <w:b/>
          <w:i w:val="0"/>
          <w:sz w:val="22"/>
          <w:lang w:eastAsia="zh-TW"/>
        </w:rPr>
        <w:t>China</w:t>
      </w:r>
      <w:r w:rsidR="00CA6A85">
        <w:rPr>
          <w:rStyle w:val="Emphasis"/>
          <w:rFonts w:eastAsia="新細明體"/>
          <w:b/>
          <w:i w:val="0"/>
          <w:sz w:val="22"/>
          <w:lang w:eastAsia="zh-TW"/>
        </w:rPr>
        <w:t xml:space="preserve">, </w:t>
      </w:r>
      <w:r>
        <w:rPr>
          <w:rStyle w:val="Emphasis"/>
          <w:rFonts w:eastAsia="新細明體"/>
          <w:b/>
          <w:i w:val="0"/>
          <w:sz w:val="22"/>
          <w:lang w:eastAsia="zh-TW"/>
        </w:rPr>
        <w:t>14</w:t>
      </w:r>
      <w:r w:rsidR="00B33BFF" w:rsidRPr="00B33BFF">
        <w:rPr>
          <w:rStyle w:val="Emphasis"/>
          <w:rFonts w:eastAsia="新細明體"/>
          <w:b/>
          <w:i w:val="0"/>
          <w:sz w:val="22"/>
          <w:vertAlign w:val="superscript"/>
          <w:lang w:eastAsia="zh-TW"/>
        </w:rPr>
        <w:t>th</w:t>
      </w:r>
      <w:r w:rsidR="00386F79">
        <w:rPr>
          <w:rStyle w:val="Emphasis"/>
          <w:rFonts w:eastAsia="新細明體"/>
          <w:b/>
          <w:i w:val="0"/>
          <w:sz w:val="22"/>
          <w:vertAlign w:val="superscript"/>
          <w:lang w:eastAsia="zh-TW"/>
        </w:rPr>
        <w:t xml:space="preserve"> </w:t>
      </w:r>
      <w:r w:rsidR="00386F79" w:rsidRPr="00A41770">
        <w:rPr>
          <w:rStyle w:val="Emphasis"/>
          <w:b/>
          <w:i w:val="0"/>
          <w:sz w:val="22"/>
        </w:rPr>
        <w:t xml:space="preserve">– </w:t>
      </w:r>
      <w:r>
        <w:rPr>
          <w:rStyle w:val="Emphasis"/>
          <w:rFonts w:eastAsiaTheme="minorEastAsia"/>
          <w:b/>
          <w:i w:val="0"/>
          <w:sz w:val="22"/>
          <w:lang w:eastAsia="zh-TW"/>
        </w:rPr>
        <w:t>2</w:t>
      </w:r>
      <w:r w:rsidR="00F77448">
        <w:rPr>
          <w:rStyle w:val="Emphasis"/>
          <w:rFonts w:eastAsiaTheme="minorEastAsia"/>
          <w:b/>
          <w:i w:val="0"/>
          <w:sz w:val="22"/>
          <w:lang w:eastAsia="zh-TW"/>
        </w:rPr>
        <w:t>0</w:t>
      </w:r>
      <w:r w:rsidR="00B33BFF" w:rsidRPr="00B33BFF">
        <w:rPr>
          <w:rStyle w:val="Emphasis"/>
          <w:rFonts w:eastAsiaTheme="minorEastAsia"/>
          <w:b/>
          <w:i w:val="0"/>
          <w:sz w:val="22"/>
          <w:vertAlign w:val="superscript"/>
          <w:lang w:eastAsia="zh-TW"/>
        </w:rPr>
        <w:t>t</w:t>
      </w:r>
      <w:r w:rsidR="00256518">
        <w:rPr>
          <w:rStyle w:val="Emphasis"/>
          <w:rFonts w:eastAsiaTheme="minorEastAsia"/>
          <w:b/>
          <w:i w:val="0"/>
          <w:sz w:val="22"/>
          <w:vertAlign w:val="superscript"/>
          <w:lang w:eastAsia="zh-TW"/>
        </w:rPr>
        <w:t>h</w:t>
      </w:r>
      <w:r w:rsidR="00386F79" w:rsidRPr="00D6786C">
        <w:rPr>
          <w:rStyle w:val="Emphasis"/>
          <w:rFonts w:eastAsia="新細明體"/>
          <w:b/>
          <w:i w:val="0"/>
          <w:sz w:val="22"/>
          <w:lang w:eastAsia="zh-TW"/>
        </w:rPr>
        <w:t xml:space="preserve"> </w:t>
      </w:r>
      <w:r>
        <w:rPr>
          <w:rStyle w:val="Emphasis"/>
          <w:rFonts w:eastAsia="新細明體"/>
          <w:b/>
          <w:i w:val="0"/>
          <w:sz w:val="22"/>
          <w:lang w:eastAsia="zh-TW"/>
        </w:rPr>
        <w:t>October</w:t>
      </w:r>
      <w:r w:rsidR="00CA6A85">
        <w:rPr>
          <w:rStyle w:val="Emphasis"/>
          <w:rFonts w:eastAsia="新細明體"/>
          <w:b/>
          <w:i w:val="0"/>
          <w:sz w:val="22"/>
          <w:lang w:eastAsia="zh-TW"/>
        </w:rPr>
        <w:t>, 2019</w:t>
      </w:r>
    </w:p>
    <w:p w14:paraId="2B3579E4" w14:textId="11BADCE6"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86F79">
        <w:rPr>
          <w:rStyle w:val="Emphasis"/>
          <w:b/>
          <w:i w:val="0"/>
          <w:sz w:val="22"/>
        </w:rPr>
        <w:t>7</w:t>
      </w:r>
      <w:r w:rsidR="00386F79" w:rsidRPr="00EA200C">
        <w:rPr>
          <w:rStyle w:val="Emphasis"/>
          <w:b/>
          <w:i w:val="0"/>
          <w:sz w:val="22"/>
        </w:rPr>
        <w:t>.</w:t>
      </w:r>
      <w:r w:rsidR="00386F79">
        <w:rPr>
          <w:rStyle w:val="Emphasis"/>
          <w:b/>
          <w:i w:val="0"/>
          <w:sz w:val="22"/>
        </w:rPr>
        <w:t>2.4.</w:t>
      </w:r>
      <w:r w:rsidR="00256518">
        <w:rPr>
          <w:rStyle w:val="Emphasis"/>
          <w:b/>
          <w:i w:val="0"/>
          <w:sz w:val="22"/>
        </w:rPr>
        <w:t>2</w:t>
      </w:r>
      <w:r w:rsidR="00386F79">
        <w:rPr>
          <w:rStyle w:val="Emphasis"/>
          <w:b/>
          <w:i w:val="0"/>
          <w:sz w:val="22"/>
        </w:rPr>
        <w:t>.</w:t>
      </w:r>
      <w:r w:rsidR="00256518">
        <w:rPr>
          <w:rStyle w:val="Emphasis"/>
          <w:b/>
          <w:i w:val="0"/>
          <w:sz w:val="22"/>
        </w:rPr>
        <w:t>2</w:t>
      </w:r>
    </w:p>
    <w:p w14:paraId="3D91E344" w14:textId="77777777"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6A48F8" w:rsidRPr="00A41770">
        <w:rPr>
          <w:rStyle w:val="Emphasis"/>
          <w:b/>
          <w:i w:val="0"/>
          <w:sz w:val="22"/>
        </w:rPr>
        <w:t>Media</w:t>
      </w:r>
      <w:r w:rsidR="00386F79">
        <w:rPr>
          <w:rStyle w:val="Emphasis"/>
          <w:b/>
          <w:i w:val="0"/>
          <w:sz w:val="22"/>
        </w:rPr>
        <w:t>T</w:t>
      </w:r>
      <w:r w:rsidR="006A48F8" w:rsidRPr="00A41770">
        <w:rPr>
          <w:rStyle w:val="Emphasis"/>
          <w:b/>
          <w:i w:val="0"/>
          <w:sz w:val="22"/>
        </w:rPr>
        <w:t>ek</w:t>
      </w:r>
      <w:r w:rsidRPr="00A41770">
        <w:rPr>
          <w:rStyle w:val="Emphasis"/>
          <w:b/>
          <w:i w:val="0"/>
          <w:sz w:val="22"/>
        </w:rPr>
        <w:t xml:space="preserve"> Inc. </w:t>
      </w:r>
    </w:p>
    <w:p w14:paraId="20C86D77" w14:textId="63A20D85"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386F79" w:rsidRPr="00386F79">
        <w:rPr>
          <w:rStyle w:val="Emphasis"/>
          <w:rFonts w:eastAsiaTheme="minorEastAsia"/>
          <w:b/>
          <w:i w:val="0"/>
          <w:sz w:val="22"/>
          <w:lang w:eastAsia="zh-TW"/>
        </w:rPr>
        <w:t xml:space="preserve">On </w:t>
      </w:r>
      <w:r w:rsidR="00397EEE">
        <w:rPr>
          <w:rStyle w:val="Emphasis"/>
          <w:rFonts w:eastAsiaTheme="minorEastAsia"/>
          <w:b/>
          <w:i w:val="0"/>
          <w:sz w:val="22"/>
          <w:lang w:eastAsia="zh-TW"/>
        </w:rPr>
        <w:t>s</w:t>
      </w:r>
      <w:r w:rsidR="0087412B">
        <w:rPr>
          <w:rStyle w:val="Emphasis"/>
          <w:rFonts w:eastAsiaTheme="minorEastAsia"/>
          <w:b/>
          <w:i w:val="0"/>
          <w:sz w:val="22"/>
          <w:lang w:eastAsia="zh-TW"/>
        </w:rPr>
        <w:t xml:space="preserve">idelink </w:t>
      </w:r>
      <w:r w:rsidR="00D52029">
        <w:rPr>
          <w:rStyle w:val="Emphasis"/>
          <w:rFonts w:eastAsiaTheme="minorEastAsia"/>
          <w:b/>
          <w:i w:val="0"/>
          <w:sz w:val="22"/>
          <w:lang w:eastAsia="zh-TW"/>
        </w:rPr>
        <w:t xml:space="preserve">mode-2 </w:t>
      </w:r>
      <w:r w:rsidR="00397EEE">
        <w:rPr>
          <w:rStyle w:val="Emphasis"/>
          <w:rFonts w:eastAsiaTheme="minorEastAsia"/>
          <w:b/>
          <w:i w:val="0"/>
          <w:sz w:val="22"/>
          <w:lang w:eastAsia="zh-TW"/>
        </w:rPr>
        <w:t>r</w:t>
      </w:r>
      <w:r w:rsidR="00386F79" w:rsidRPr="00386F79">
        <w:rPr>
          <w:rStyle w:val="Emphasis"/>
          <w:rFonts w:eastAsiaTheme="minorEastAsia"/>
          <w:b/>
          <w:i w:val="0"/>
          <w:sz w:val="22"/>
          <w:lang w:eastAsia="zh-TW"/>
        </w:rPr>
        <w:t xml:space="preserve">esource </w:t>
      </w:r>
      <w:r w:rsidR="00397EEE">
        <w:rPr>
          <w:rStyle w:val="Emphasis"/>
          <w:rFonts w:eastAsiaTheme="minorEastAsia"/>
          <w:b/>
          <w:i w:val="0"/>
          <w:sz w:val="22"/>
          <w:lang w:eastAsia="zh-TW"/>
        </w:rPr>
        <w:t>a</w:t>
      </w:r>
      <w:r w:rsidR="00386F79" w:rsidRPr="00386F79">
        <w:rPr>
          <w:rStyle w:val="Emphasis"/>
          <w:rFonts w:eastAsiaTheme="minorEastAsia"/>
          <w:b/>
          <w:i w:val="0"/>
          <w:sz w:val="22"/>
          <w:lang w:eastAsia="zh-TW"/>
        </w:rPr>
        <w:t>llocation</w:t>
      </w:r>
    </w:p>
    <w:p w14:paraId="441C25D4" w14:textId="77777777"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14:paraId="06E40751" w14:textId="77777777" w:rsidR="004503F9" w:rsidRPr="00183CB7" w:rsidRDefault="004503F9" w:rsidP="00072BFD">
      <w:pPr>
        <w:pStyle w:val="Heading1"/>
        <w:spacing w:before="0" w:after="0"/>
      </w:pPr>
      <w:bookmarkStart w:id="2" w:name="_Ref477948028"/>
      <w:r w:rsidRPr="00183CB7">
        <w:t>Introduction</w:t>
      </w:r>
      <w:bookmarkEnd w:id="2"/>
    </w:p>
    <w:p w14:paraId="23543082" w14:textId="74133015" w:rsidR="00581409" w:rsidRDefault="00581409" w:rsidP="00581409">
      <w:pPr>
        <w:rPr>
          <w:rFonts w:eastAsia="新細明體"/>
          <w:lang w:val="en-GB" w:eastAsia="zh-TW"/>
        </w:rPr>
      </w:pPr>
      <w:r w:rsidRPr="00F05C2B">
        <w:rPr>
          <w:rFonts w:eastAsia="新細明體"/>
          <w:lang w:val="en-GB" w:eastAsia="zh-TW"/>
        </w:rPr>
        <w:t>In R</w:t>
      </w:r>
      <w:r>
        <w:rPr>
          <w:rFonts w:eastAsia="新細明體"/>
          <w:lang w:val="en-GB" w:eastAsia="zh-TW"/>
        </w:rPr>
        <w:t>AN1 #98</w:t>
      </w:r>
      <w:r>
        <w:rPr>
          <w:rFonts w:eastAsia="新細明體" w:hint="eastAsia"/>
          <w:lang w:val="en-GB" w:eastAsia="zh-TW"/>
        </w:rPr>
        <w:t xml:space="preserve"> </w:t>
      </w:r>
      <w:r w:rsidRPr="00F05C2B">
        <w:rPr>
          <w:rFonts w:eastAsia="新細明體"/>
          <w:lang w:val="en-GB" w:eastAsia="zh-TW"/>
        </w:rPr>
        <w:t xml:space="preserve">meeting, </w:t>
      </w:r>
      <w:r>
        <w:rPr>
          <w:rFonts w:eastAsia="新細明體"/>
          <w:lang w:val="en-GB" w:eastAsia="zh-TW"/>
        </w:rPr>
        <w:t>the following agreements related to resource allocation were made [1]:</w:t>
      </w:r>
    </w:p>
    <w:p w14:paraId="372C6CDD" w14:textId="77777777" w:rsidR="00581409" w:rsidRPr="00581409" w:rsidRDefault="00581409" w:rsidP="00581409">
      <w:pPr>
        <w:spacing w:after="0"/>
        <w:rPr>
          <w:color w:val="000000" w:themeColor="text1"/>
          <w:lang w:eastAsia="x-none"/>
        </w:rPr>
      </w:pPr>
      <w:r w:rsidRPr="00581409">
        <w:rPr>
          <w:color w:val="000000" w:themeColor="text1"/>
          <w:highlight w:val="green"/>
          <w:lang w:eastAsia="x-none"/>
        </w:rPr>
        <w:t>Agreements</w:t>
      </w:r>
      <w:r w:rsidRPr="00581409">
        <w:rPr>
          <w:color w:val="000000" w:themeColor="text1"/>
          <w:lang w:eastAsia="x-none"/>
        </w:rPr>
        <w:t>:</w:t>
      </w:r>
    </w:p>
    <w:p w14:paraId="3E59200B" w14:textId="77777777" w:rsidR="00581409" w:rsidRPr="00581409" w:rsidRDefault="00581409" w:rsidP="00581409">
      <w:pPr>
        <w:pStyle w:val="ListParagraph"/>
        <w:numPr>
          <w:ilvl w:val="0"/>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At least for mode 2, The maximum number of SL resources N</w:t>
      </w:r>
      <w:r w:rsidRPr="00581409">
        <w:rPr>
          <w:rFonts w:ascii="Times New Roman" w:hAnsi="Times New Roman"/>
          <w:color w:val="000000" w:themeColor="text1"/>
          <w:sz w:val="20"/>
          <w:szCs w:val="20"/>
          <w:vertAlign w:val="subscript"/>
        </w:rPr>
        <w:t>MAX</w:t>
      </w:r>
      <w:r w:rsidRPr="00581409">
        <w:rPr>
          <w:rFonts w:ascii="Times New Roman" w:hAnsi="Times New Roman"/>
          <w:color w:val="000000" w:themeColor="text1"/>
          <w:sz w:val="20"/>
          <w:szCs w:val="20"/>
        </w:rPr>
        <w:t xml:space="preserve"> reserved by one transmission including current transmission is [2 or 3 or 4]</w:t>
      </w:r>
    </w:p>
    <w:p w14:paraId="7C2F23F4"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Aim to select the particular number in RAN1#98</w:t>
      </w:r>
    </w:p>
    <w:p w14:paraId="37833F4D" w14:textId="77777777" w:rsidR="00581409" w:rsidRPr="00581409" w:rsidRDefault="00581409" w:rsidP="00581409">
      <w:pPr>
        <w:pStyle w:val="ListParagraph"/>
        <w:numPr>
          <w:ilvl w:val="0"/>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N</w:t>
      </w:r>
      <w:r w:rsidRPr="00581409">
        <w:rPr>
          <w:rFonts w:ascii="Times New Roman" w:hAnsi="Times New Roman"/>
          <w:color w:val="000000" w:themeColor="text1"/>
          <w:sz w:val="20"/>
          <w:szCs w:val="20"/>
          <w:vertAlign w:val="subscript"/>
        </w:rPr>
        <w:t>MAX</w:t>
      </w:r>
      <w:r w:rsidRPr="00581409">
        <w:rPr>
          <w:rFonts w:ascii="Times New Roman" w:hAnsi="Times New Roman"/>
          <w:color w:val="000000" w:themeColor="text1"/>
          <w:sz w:val="20"/>
          <w:szCs w:val="20"/>
        </w:rPr>
        <w:t xml:space="preserve"> is the same regardless of whether HARQ feedback is enabled or disabled</w:t>
      </w:r>
    </w:p>
    <w:p w14:paraId="412049F5" w14:textId="77777777" w:rsidR="00581409" w:rsidRPr="00581409" w:rsidRDefault="00581409" w:rsidP="00581409">
      <w:pPr>
        <w:spacing w:after="0"/>
        <w:rPr>
          <w:color w:val="000000" w:themeColor="text1"/>
          <w:lang w:eastAsia="x-none"/>
        </w:rPr>
      </w:pPr>
    </w:p>
    <w:p w14:paraId="0EC225CE" w14:textId="77777777" w:rsidR="00581409" w:rsidRPr="00581409" w:rsidRDefault="00581409" w:rsidP="00581409">
      <w:pPr>
        <w:spacing w:after="0"/>
        <w:rPr>
          <w:color w:val="000000" w:themeColor="text1"/>
          <w:lang w:eastAsia="x-none"/>
        </w:rPr>
      </w:pPr>
      <w:r w:rsidRPr="00581409">
        <w:rPr>
          <w:color w:val="000000" w:themeColor="text1"/>
          <w:highlight w:val="green"/>
          <w:lang w:eastAsia="x-none"/>
        </w:rPr>
        <w:t>Agreements</w:t>
      </w:r>
      <w:r w:rsidRPr="00581409">
        <w:rPr>
          <w:color w:val="000000" w:themeColor="text1"/>
          <w:lang w:eastAsia="x-none"/>
        </w:rPr>
        <w:t>:</w:t>
      </w:r>
    </w:p>
    <w:p w14:paraId="49311598" w14:textId="77777777" w:rsidR="00581409" w:rsidRPr="00581409" w:rsidRDefault="00581409" w:rsidP="00581409">
      <w:pPr>
        <w:pStyle w:val="ListParagraph"/>
        <w:numPr>
          <w:ilvl w:val="0"/>
          <w:numId w:val="18"/>
        </w:numPr>
        <w:rPr>
          <w:rFonts w:ascii="Times New Roman" w:hAnsi="Times New Roman"/>
          <w:color w:val="000000" w:themeColor="text1"/>
          <w:sz w:val="20"/>
          <w:szCs w:val="20"/>
        </w:rPr>
      </w:pPr>
      <w:r w:rsidRPr="00581409">
        <w:rPr>
          <w:rFonts w:ascii="Times New Roman" w:hAnsi="Times New Roman"/>
          <w:color w:val="000000" w:themeColor="text1"/>
          <w:sz w:val="20"/>
          <w:szCs w:val="20"/>
        </w:rPr>
        <w:t>At least for mode 2,  (Pre-)configuration can limit the maximum number of HARQ (re-)transmissions of a TB</w:t>
      </w:r>
    </w:p>
    <w:p w14:paraId="7B16462D"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Up to 32</w:t>
      </w:r>
    </w:p>
    <w:p w14:paraId="208F2403"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FFS the set of values</w:t>
      </w:r>
    </w:p>
    <w:p w14:paraId="2E653DB7"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FFS signaling details (UE-specific, resource pool specific, QoS specific, etc.)</w:t>
      </w:r>
    </w:p>
    <w:p w14:paraId="7CFD58EA"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If no (pre)configuration, the maximum number is not specified</w:t>
      </w:r>
    </w:p>
    <w:p w14:paraId="1E48F522"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Note: this (pre-)configuration information is NOT intended for the Rx UE</w:t>
      </w:r>
    </w:p>
    <w:p w14:paraId="6FF0D105" w14:textId="77777777" w:rsidR="00581409" w:rsidRPr="00581409" w:rsidRDefault="00581409" w:rsidP="00581409">
      <w:pPr>
        <w:spacing w:after="0"/>
        <w:rPr>
          <w:color w:val="000000" w:themeColor="text1"/>
          <w:lang w:eastAsia="x-none"/>
        </w:rPr>
      </w:pPr>
    </w:p>
    <w:p w14:paraId="16B10D5B" w14:textId="77777777" w:rsidR="00581409" w:rsidRPr="00581409" w:rsidRDefault="00581409" w:rsidP="00581409">
      <w:pPr>
        <w:spacing w:after="0"/>
        <w:rPr>
          <w:color w:val="000000" w:themeColor="text1"/>
          <w:lang w:eastAsia="x-none"/>
        </w:rPr>
      </w:pPr>
      <w:r w:rsidRPr="00581409">
        <w:rPr>
          <w:color w:val="000000" w:themeColor="text1"/>
          <w:highlight w:val="green"/>
          <w:lang w:eastAsia="x-none"/>
        </w:rPr>
        <w:t>Agreements</w:t>
      </w:r>
      <w:r w:rsidRPr="00581409">
        <w:rPr>
          <w:color w:val="000000" w:themeColor="text1"/>
          <w:lang w:eastAsia="x-none"/>
        </w:rPr>
        <w:t>:</w:t>
      </w:r>
    </w:p>
    <w:p w14:paraId="215A26D7" w14:textId="77777777" w:rsidR="00581409" w:rsidRPr="00581409" w:rsidRDefault="00581409" w:rsidP="00581409">
      <w:pPr>
        <w:pStyle w:val="ListParagraph"/>
        <w:numPr>
          <w:ilvl w:val="0"/>
          <w:numId w:val="8"/>
        </w:numPr>
        <w:jc w:val="both"/>
        <w:rPr>
          <w:rFonts w:ascii="Times New Roman" w:hAnsi="Times New Roman"/>
          <w:color w:val="000000" w:themeColor="text1"/>
          <w:sz w:val="20"/>
          <w:szCs w:val="20"/>
        </w:rPr>
      </w:pPr>
      <w:r w:rsidRPr="00581409">
        <w:rPr>
          <w:rFonts w:ascii="Times New Roman" w:hAnsi="Times New Roman"/>
          <w:color w:val="000000" w:themeColor="text1"/>
          <w:sz w:val="20"/>
          <w:szCs w:val="20"/>
        </w:rPr>
        <w:t xml:space="preserve">In Mode-2, SCI payload indicates sub-channel(s) and slot(s) used by a UE and/or reserved by a UE for PSSCH (re-)transmission(s) </w:t>
      </w:r>
    </w:p>
    <w:p w14:paraId="1A90C439" w14:textId="77777777" w:rsidR="00581409" w:rsidRPr="00581409" w:rsidRDefault="00581409" w:rsidP="00581409">
      <w:pPr>
        <w:pStyle w:val="ListParagraph"/>
        <w:numPr>
          <w:ilvl w:val="0"/>
          <w:numId w:val="8"/>
        </w:numPr>
        <w:jc w:val="both"/>
        <w:rPr>
          <w:rFonts w:ascii="Times New Roman" w:hAnsi="Times New Roman"/>
          <w:color w:val="000000" w:themeColor="text1"/>
          <w:sz w:val="20"/>
          <w:szCs w:val="20"/>
        </w:rPr>
      </w:pPr>
      <w:r w:rsidRPr="00581409">
        <w:rPr>
          <w:rFonts w:ascii="Times New Roman" w:hAnsi="Times New Roman"/>
          <w:color w:val="000000" w:themeColor="text1"/>
          <w:sz w:val="20"/>
          <w:szCs w:val="20"/>
        </w:rPr>
        <w:t>SL minimum resource allocation unit is a slot</w:t>
      </w:r>
    </w:p>
    <w:p w14:paraId="3EC48870" w14:textId="77777777" w:rsidR="00581409" w:rsidRPr="00581409" w:rsidRDefault="00581409" w:rsidP="00581409">
      <w:pPr>
        <w:pStyle w:val="ListParagraph"/>
        <w:numPr>
          <w:ilvl w:val="0"/>
          <w:numId w:val="8"/>
        </w:numPr>
        <w:jc w:val="both"/>
        <w:rPr>
          <w:rFonts w:ascii="Times New Roman" w:hAnsi="Times New Roman"/>
          <w:color w:val="000000" w:themeColor="text1"/>
          <w:sz w:val="20"/>
          <w:szCs w:val="20"/>
        </w:rPr>
      </w:pPr>
      <w:r w:rsidRPr="00581409">
        <w:rPr>
          <w:rFonts w:ascii="Times New Roman" w:hAnsi="Times New Roman"/>
          <w:color w:val="000000" w:themeColor="text1"/>
          <w:sz w:val="20"/>
          <w:szCs w:val="20"/>
        </w:rPr>
        <w:t>FFS whether when the resource allocation is multiple slots, the slots can be aggregated</w:t>
      </w:r>
    </w:p>
    <w:p w14:paraId="14B30057" w14:textId="77777777" w:rsidR="00581409" w:rsidRPr="00581409" w:rsidRDefault="00581409" w:rsidP="00581409">
      <w:pPr>
        <w:pStyle w:val="ListParagraph"/>
        <w:numPr>
          <w:ilvl w:val="0"/>
          <w:numId w:val="8"/>
        </w:numPr>
        <w:jc w:val="both"/>
        <w:rPr>
          <w:rFonts w:ascii="Times New Roman" w:hAnsi="Times New Roman"/>
          <w:color w:val="000000" w:themeColor="text1"/>
          <w:sz w:val="20"/>
          <w:szCs w:val="20"/>
        </w:rPr>
      </w:pPr>
      <w:r w:rsidRPr="00581409">
        <w:rPr>
          <w:rFonts w:ascii="Times New Roman" w:hAnsi="Times New Roman"/>
          <w:color w:val="000000" w:themeColor="text1"/>
          <w:sz w:val="20"/>
          <w:szCs w:val="20"/>
        </w:rPr>
        <w:t>FFS whether in case of multiple slots, the indicated slots are contiguous or not</w:t>
      </w:r>
    </w:p>
    <w:p w14:paraId="3220C04E" w14:textId="77777777" w:rsidR="00581409" w:rsidRPr="00581409" w:rsidRDefault="00581409" w:rsidP="00581409">
      <w:pPr>
        <w:spacing w:after="0"/>
        <w:rPr>
          <w:color w:val="000000" w:themeColor="text1"/>
          <w:lang w:eastAsia="x-none"/>
        </w:rPr>
      </w:pPr>
    </w:p>
    <w:p w14:paraId="2D7E3ABE" w14:textId="77777777" w:rsidR="00581409" w:rsidRPr="00581409" w:rsidRDefault="00581409" w:rsidP="00581409">
      <w:pPr>
        <w:spacing w:after="0"/>
        <w:rPr>
          <w:color w:val="000000" w:themeColor="text1"/>
          <w:highlight w:val="darkYellow"/>
          <w:lang w:eastAsia="x-none"/>
        </w:rPr>
      </w:pPr>
      <w:r w:rsidRPr="00581409">
        <w:rPr>
          <w:color w:val="000000" w:themeColor="text1"/>
          <w:highlight w:val="darkYellow"/>
          <w:lang w:eastAsia="x-none"/>
        </w:rPr>
        <w:t>Working assumption:</w:t>
      </w:r>
    </w:p>
    <w:p w14:paraId="5EA04CA9" w14:textId="77777777" w:rsidR="00581409" w:rsidRPr="00581409" w:rsidRDefault="00581409" w:rsidP="00581409">
      <w:pPr>
        <w:pStyle w:val="ListParagraph"/>
        <w:numPr>
          <w:ilvl w:val="0"/>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An indication of a priority of a sidelink transmission is carried by SCI payload</w:t>
      </w:r>
    </w:p>
    <w:p w14:paraId="46A9CDBB"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This indication is used for sensing and resource (re)selection procedures</w:t>
      </w:r>
    </w:p>
    <w:p w14:paraId="7B464CB5"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This priority is not necessarily the higher layer priority</w:t>
      </w:r>
    </w:p>
    <w:p w14:paraId="52F9AA6C" w14:textId="77777777" w:rsidR="00581409" w:rsidRPr="00581409" w:rsidRDefault="00581409" w:rsidP="00581409">
      <w:pPr>
        <w:spacing w:after="0"/>
        <w:rPr>
          <w:color w:val="000000" w:themeColor="text1"/>
        </w:rPr>
      </w:pPr>
    </w:p>
    <w:p w14:paraId="4F0BD603" w14:textId="77777777" w:rsidR="00581409" w:rsidRPr="00581409" w:rsidRDefault="00581409" w:rsidP="00581409">
      <w:pPr>
        <w:spacing w:after="0"/>
        <w:rPr>
          <w:color w:val="000000" w:themeColor="text1"/>
        </w:rPr>
      </w:pPr>
      <w:r w:rsidRPr="00581409">
        <w:rPr>
          <w:color w:val="000000" w:themeColor="text1"/>
          <w:highlight w:val="green"/>
        </w:rPr>
        <w:t>Agreements</w:t>
      </w:r>
      <w:r w:rsidRPr="00581409">
        <w:rPr>
          <w:color w:val="000000" w:themeColor="text1"/>
        </w:rPr>
        <w:t>:</w:t>
      </w:r>
    </w:p>
    <w:p w14:paraId="141E16B2" w14:textId="77777777" w:rsidR="00581409" w:rsidRPr="00581409" w:rsidRDefault="00581409" w:rsidP="00581409">
      <w:pPr>
        <w:pStyle w:val="ListParagraph"/>
        <w:numPr>
          <w:ilvl w:val="0"/>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The resource (re-)selection procedure includes the following steps</w:t>
      </w:r>
    </w:p>
    <w:p w14:paraId="615969D4"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Step 1: Identification of candidate resources within the resource selection window</w:t>
      </w:r>
    </w:p>
    <w:p w14:paraId="3E3DC893" w14:textId="77777777" w:rsidR="00581409" w:rsidRPr="00581409" w:rsidRDefault="00581409" w:rsidP="00581409">
      <w:pPr>
        <w:pStyle w:val="ListParagraph"/>
        <w:numPr>
          <w:ilvl w:val="2"/>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FFS details</w:t>
      </w:r>
    </w:p>
    <w:p w14:paraId="63449215"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Step 2: Resource selection for (re-)transmission(s) from the identified candidate resources</w:t>
      </w:r>
    </w:p>
    <w:p w14:paraId="58A511EF" w14:textId="77777777" w:rsidR="00581409" w:rsidRPr="00581409" w:rsidRDefault="00581409" w:rsidP="00581409">
      <w:pPr>
        <w:pStyle w:val="ListParagraph"/>
        <w:numPr>
          <w:ilvl w:val="2"/>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FFS details</w:t>
      </w:r>
    </w:p>
    <w:p w14:paraId="4FADE3A7" w14:textId="77777777" w:rsidR="00581409" w:rsidRPr="00581409" w:rsidRDefault="00581409" w:rsidP="00581409">
      <w:pPr>
        <w:spacing w:after="0"/>
        <w:rPr>
          <w:color w:val="000000" w:themeColor="text1"/>
        </w:rPr>
      </w:pPr>
      <w:r w:rsidRPr="00581409">
        <w:rPr>
          <w:color w:val="000000" w:themeColor="text1"/>
          <w:highlight w:val="green"/>
        </w:rPr>
        <w:t>Agreements</w:t>
      </w:r>
      <w:r w:rsidRPr="00581409">
        <w:rPr>
          <w:color w:val="000000" w:themeColor="text1"/>
        </w:rPr>
        <w:t>:</w:t>
      </w:r>
    </w:p>
    <w:p w14:paraId="5D0351BC" w14:textId="77777777" w:rsidR="00581409" w:rsidRPr="00581409" w:rsidRDefault="00581409" w:rsidP="00581409">
      <w:pPr>
        <w:pStyle w:val="ListParagraph"/>
        <w:numPr>
          <w:ilvl w:val="0"/>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In Step 1 of the resource (re-)selection procedure, a resource is not considered as a candidate resource if:</w:t>
      </w:r>
    </w:p>
    <w:p w14:paraId="636391DB"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The resource is indicated in a received SCI and the associated L1 SL-RSRP measurement is above an SL-RSRP threshold</w:t>
      </w:r>
    </w:p>
    <w:p w14:paraId="7DDF625C" w14:textId="77777777" w:rsidR="00581409" w:rsidRPr="00581409" w:rsidRDefault="00581409" w:rsidP="00581409">
      <w:pPr>
        <w:pStyle w:val="ListParagraph"/>
        <w:numPr>
          <w:ilvl w:val="2"/>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t>The SL-RSRP threshold is at least a function of the priority of the SL transmission indicated in the received SCI and the priority of the transmission for which resources are being selected by the UE</w:t>
      </w:r>
    </w:p>
    <w:p w14:paraId="7DCD6186" w14:textId="77777777" w:rsidR="00581409" w:rsidRPr="00581409" w:rsidRDefault="00581409" w:rsidP="00581409">
      <w:pPr>
        <w:pStyle w:val="ListParagraph"/>
        <w:numPr>
          <w:ilvl w:val="1"/>
          <w:numId w:val="8"/>
        </w:numPr>
        <w:rPr>
          <w:rFonts w:ascii="Times New Roman" w:hAnsi="Times New Roman"/>
          <w:color w:val="000000" w:themeColor="text1"/>
          <w:sz w:val="20"/>
          <w:szCs w:val="20"/>
        </w:rPr>
      </w:pPr>
      <w:r w:rsidRPr="00581409">
        <w:rPr>
          <w:rFonts w:ascii="Times New Roman" w:hAnsi="Times New Roman"/>
          <w:color w:val="000000" w:themeColor="text1"/>
          <w:sz w:val="20"/>
          <w:szCs w:val="20"/>
        </w:rPr>
        <w:lastRenderedPageBreak/>
        <w:t>FFS details</w:t>
      </w:r>
    </w:p>
    <w:p w14:paraId="7F5D3E50" w14:textId="77777777" w:rsidR="00581409" w:rsidRDefault="00581409" w:rsidP="00B33BFF">
      <w:pPr>
        <w:rPr>
          <w:rFonts w:eastAsia="新細明體"/>
          <w:lang w:val="en-GB" w:eastAsia="zh-TW"/>
        </w:rPr>
      </w:pPr>
    </w:p>
    <w:p w14:paraId="7EC10A78" w14:textId="2CE0C854" w:rsidR="00373302" w:rsidRDefault="00581409" w:rsidP="00B33BFF">
      <w:pPr>
        <w:rPr>
          <w:rFonts w:eastAsia="新細明體"/>
          <w:lang w:val="en-GB" w:eastAsia="zh-TW"/>
        </w:rPr>
      </w:pPr>
      <w:r w:rsidRPr="00F05C2B">
        <w:rPr>
          <w:rFonts w:eastAsia="新細明體"/>
          <w:lang w:val="en-GB" w:eastAsia="zh-TW"/>
        </w:rPr>
        <w:t>In R</w:t>
      </w:r>
      <w:r>
        <w:rPr>
          <w:rFonts w:eastAsia="新細明體"/>
          <w:lang w:val="en-GB" w:eastAsia="zh-TW"/>
        </w:rPr>
        <w:t xml:space="preserve">AN1 #97, #96bis and 96 </w:t>
      </w:r>
      <w:r w:rsidRPr="00F05C2B">
        <w:rPr>
          <w:rFonts w:eastAsia="新細明體"/>
          <w:lang w:val="en-GB" w:eastAsia="zh-TW"/>
        </w:rPr>
        <w:t>meeting</w:t>
      </w:r>
      <w:r>
        <w:rPr>
          <w:rFonts w:eastAsia="新細明體"/>
          <w:lang w:val="en-GB" w:eastAsia="zh-TW"/>
        </w:rPr>
        <w:t>s</w:t>
      </w:r>
      <w:r w:rsidRPr="00F05C2B">
        <w:rPr>
          <w:rFonts w:eastAsia="新細明體"/>
          <w:lang w:val="en-GB" w:eastAsia="zh-TW"/>
        </w:rPr>
        <w:t xml:space="preserve">, </w:t>
      </w:r>
      <w:r>
        <w:rPr>
          <w:rFonts w:eastAsia="新細明體"/>
          <w:lang w:val="en-GB" w:eastAsia="zh-TW"/>
        </w:rPr>
        <w:t>the following agreements related to resource allocation were made [2]-[4]:</w:t>
      </w:r>
    </w:p>
    <w:p w14:paraId="2889A8F1" w14:textId="77777777" w:rsidR="005C0160" w:rsidRPr="005C0160" w:rsidRDefault="005C0160" w:rsidP="005C0160">
      <w:pPr>
        <w:overflowPunct/>
        <w:autoSpaceDE/>
        <w:autoSpaceDN/>
        <w:adjustRightInd/>
        <w:spacing w:after="0"/>
        <w:textAlignment w:val="auto"/>
        <w:rPr>
          <w:rFonts w:ascii="Times" w:eastAsia="Batang" w:hAnsi="Times"/>
          <w:b/>
          <w:lang w:val="en-GB"/>
        </w:rPr>
      </w:pPr>
      <w:r w:rsidRPr="005C0160">
        <w:rPr>
          <w:rFonts w:ascii="Times" w:eastAsia="Batang" w:hAnsi="Times"/>
          <w:highlight w:val="green"/>
          <w:lang w:val="en-GB"/>
        </w:rPr>
        <w:t>Agreements</w:t>
      </w:r>
      <w:r w:rsidRPr="005C0160">
        <w:rPr>
          <w:rFonts w:ascii="Times" w:eastAsia="Batang" w:hAnsi="Times"/>
          <w:b/>
          <w:lang w:val="en-GB"/>
        </w:rPr>
        <w:t>:</w:t>
      </w:r>
    </w:p>
    <w:p w14:paraId="4422FBCB" w14:textId="77777777" w:rsidR="005C0160" w:rsidRPr="005C0160" w:rsidRDefault="005C0160" w:rsidP="00371CFD">
      <w:pPr>
        <w:numPr>
          <w:ilvl w:val="0"/>
          <w:numId w:val="8"/>
        </w:numPr>
        <w:overflowPunct/>
        <w:autoSpaceDE/>
        <w:autoSpaceDN/>
        <w:adjustRightInd/>
        <w:spacing w:after="0"/>
        <w:textAlignment w:val="auto"/>
        <w:rPr>
          <w:rFonts w:ascii="Times" w:eastAsia="Batang" w:hAnsi="Times"/>
          <w:lang w:eastAsia="x-none"/>
        </w:rPr>
      </w:pPr>
      <w:r w:rsidRPr="005C0160">
        <w:rPr>
          <w:rFonts w:ascii="Times" w:eastAsia="Batang" w:hAnsi="Times"/>
          <w:lang w:eastAsia="x-none"/>
        </w:rPr>
        <w:t>NR V2X Mode-2 supports resource reservation for feedback-based PSSCH retransmissions by signaling associated with a prior transmission of the same TB</w:t>
      </w:r>
    </w:p>
    <w:p w14:paraId="0D227736" w14:textId="77777777" w:rsidR="005C0160" w:rsidRPr="005C0160" w:rsidRDefault="005C0160" w:rsidP="00371CFD">
      <w:pPr>
        <w:numPr>
          <w:ilvl w:val="1"/>
          <w:numId w:val="8"/>
        </w:numPr>
        <w:overflowPunct/>
        <w:autoSpaceDE/>
        <w:autoSpaceDN/>
        <w:adjustRightInd/>
        <w:spacing w:after="0"/>
        <w:textAlignment w:val="auto"/>
        <w:rPr>
          <w:rFonts w:ascii="Times" w:eastAsia="Batang" w:hAnsi="Times"/>
          <w:lang w:eastAsia="x-none"/>
        </w:rPr>
      </w:pPr>
      <w:r w:rsidRPr="005C0160">
        <w:rPr>
          <w:rFonts w:ascii="Times" w:eastAsia="Batang" w:hAnsi="Times"/>
          <w:lang w:eastAsia="x-none"/>
        </w:rPr>
        <w:t>FFS impact on subsequent sensing and resource selection procedures</w:t>
      </w:r>
    </w:p>
    <w:p w14:paraId="7E440BA2" w14:textId="77777777" w:rsidR="005C0160" w:rsidRPr="005C0160" w:rsidRDefault="005C0160" w:rsidP="00371CFD">
      <w:pPr>
        <w:numPr>
          <w:ilvl w:val="1"/>
          <w:numId w:val="8"/>
        </w:numPr>
        <w:overflowPunct/>
        <w:autoSpaceDE/>
        <w:autoSpaceDN/>
        <w:adjustRightInd/>
        <w:spacing w:after="0"/>
        <w:textAlignment w:val="auto"/>
        <w:rPr>
          <w:rFonts w:ascii="Times" w:eastAsia="Batang" w:hAnsi="Times"/>
          <w:lang w:eastAsia="x-none"/>
        </w:rPr>
      </w:pPr>
      <w:r w:rsidRPr="005C0160">
        <w:rPr>
          <w:rFonts w:ascii="Times" w:eastAsia="Batang" w:hAnsi="Times"/>
          <w:lang w:eastAsia="x-none"/>
        </w:rPr>
        <w:t>At least from the transmitter perspective of this TB, usage of HARQ feedback for release of unused resource(s) is supported</w:t>
      </w:r>
    </w:p>
    <w:p w14:paraId="137F4ED3" w14:textId="77777777" w:rsidR="005C0160" w:rsidRPr="005C0160" w:rsidRDefault="005C0160" w:rsidP="00371CFD">
      <w:pPr>
        <w:numPr>
          <w:ilvl w:val="2"/>
          <w:numId w:val="8"/>
        </w:numPr>
        <w:overflowPunct/>
        <w:autoSpaceDE/>
        <w:autoSpaceDN/>
        <w:adjustRightInd/>
        <w:spacing w:after="0"/>
        <w:textAlignment w:val="auto"/>
        <w:rPr>
          <w:rFonts w:ascii="Times" w:eastAsia="Batang" w:hAnsi="Times"/>
          <w:lang w:eastAsia="x-none"/>
        </w:rPr>
      </w:pPr>
      <w:r w:rsidRPr="005C0160">
        <w:rPr>
          <w:rFonts w:ascii="Times" w:eastAsia="Batang" w:hAnsi="Times"/>
          <w:lang w:eastAsia="x-none"/>
        </w:rPr>
        <w:t>No additional signaling is defined for the purpose of release of unused resources by the transmitting UE</w:t>
      </w:r>
    </w:p>
    <w:p w14:paraId="15FFA9A1" w14:textId="77777777" w:rsidR="005C0160" w:rsidRPr="00995E94" w:rsidRDefault="005C0160" w:rsidP="00371CFD">
      <w:pPr>
        <w:numPr>
          <w:ilvl w:val="2"/>
          <w:numId w:val="8"/>
        </w:numPr>
        <w:overflowPunct/>
        <w:autoSpaceDE/>
        <w:autoSpaceDN/>
        <w:adjustRightInd/>
        <w:spacing w:after="0"/>
        <w:textAlignment w:val="auto"/>
        <w:rPr>
          <w:rFonts w:ascii="Times" w:eastAsia="Batang" w:hAnsi="Times"/>
          <w:color w:val="000000" w:themeColor="text1"/>
          <w:lang w:eastAsia="x-none"/>
        </w:rPr>
      </w:pPr>
      <w:r w:rsidRPr="005C0160">
        <w:rPr>
          <w:rFonts w:ascii="Times" w:eastAsia="Batang" w:hAnsi="Times"/>
          <w:lang w:eastAsia="x-none"/>
        </w:rPr>
        <w:t xml:space="preserve">FFS </w:t>
      </w:r>
      <w:r w:rsidRPr="00995E94">
        <w:rPr>
          <w:rFonts w:ascii="Times" w:eastAsia="Batang" w:hAnsi="Times"/>
          <w:color w:val="000000" w:themeColor="text1"/>
          <w:lang w:eastAsia="x-none"/>
        </w:rPr>
        <w:t>the behavior of the receiver UE(s) of this TB and other UEs</w:t>
      </w:r>
    </w:p>
    <w:p w14:paraId="599133BD" w14:textId="77777777" w:rsidR="005C0160" w:rsidRPr="005C0160" w:rsidRDefault="005C0160" w:rsidP="005C0160">
      <w:pPr>
        <w:overflowPunct/>
        <w:autoSpaceDE/>
        <w:autoSpaceDN/>
        <w:adjustRightInd/>
        <w:spacing w:after="0"/>
        <w:textAlignment w:val="auto"/>
        <w:rPr>
          <w:rFonts w:ascii="Times" w:eastAsia="Batang" w:hAnsi="Times"/>
          <w:lang w:eastAsia="x-none"/>
        </w:rPr>
      </w:pPr>
      <w:r w:rsidRPr="005C0160">
        <w:rPr>
          <w:rFonts w:ascii="Times" w:eastAsia="Batang" w:hAnsi="Times"/>
          <w:highlight w:val="green"/>
          <w:lang w:eastAsia="x-none"/>
        </w:rPr>
        <w:t>Agreements</w:t>
      </w:r>
      <w:r w:rsidRPr="005C0160">
        <w:rPr>
          <w:rFonts w:ascii="Times" w:eastAsia="Batang" w:hAnsi="Times"/>
          <w:lang w:eastAsia="x-none"/>
        </w:rPr>
        <w:t>:</w:t>
      </w:r>
    </w:p>
    <w:p w14:paraId="327AADCE" w14:textId="77777777" w:rsidR="005C0160" w:rsidRPr="005C0160" w:rsidRDefault="005C0160" w:rsidP="00371CFD">
      <w:pPr>
        <w:numPr>
          <w:ilvl w:val="0"/>
          <w:numId w:val="9"/>
        </w:numPr>
        <w:overflowPunct/>
        <w:autoSpaceDE/>
        <w:autoSpaceDN/>
        <w:adjustRightInd/>
        <w:spacing w:after="0"/>
        <w:textAlignment w:val="auto"/>
        <w:rPr>
          <w:rFonts w:ascii="Times" w:eastAsia="Batang" w:hAnsi="Times"/>
          <w:lang w:eastAsia="x-none"/>
        </w:rPr>
      </w:pPr>
      <w:r w:rsidRPr="005C0160">
        <w:rPr>
          <w:rFonts w:ascii="Times" w:eastAsia="Batang" w:hAnsi="Times"/>
          <w:lang w:eastAsia="x-none"/>
        </w:rPr>
        <w:t>RAN1 to further select between the following options of sidelink resource reservation for blind retransmissions:</w:t>
      </w:r>
    </w:p>
    <w:p w14:paraId="276A9101" w14:textId="77777777" w:rsidR="005C0160" w:rsidRPr="005C0160" w:rsidRDefault="005C0160" w:rsidP="00371CFD">
      <w:pPr>
        <w:numPr>
          <w:ilvl w:val="1"/>
          <w:numId w:val="8"/>
        </w:numPr>
        <w:overflowPunct/>
        <w:autoSpaceDE/>
        <w:autoSpaceDN/>
        <w:adjustRightInd/>
        <w:spacing w:after="0"/>
        <w:textAlignment w:val="auto"/>
        <w:rPr>
          <w:rFonts w:ascii="Times" w:eastAsia="Batang" w:hAnsi="Times"/>
          <w:lang w:eastAsia="x-none"/>
        </w:rPr>
      </w:pPr>
      <w:r w:rsidRPr="005C0160">
        <w:rPr>
          <w:rFonts w:ascii="Times" w:eastAsia="Batang" w:hAnsi="Times"/>
          <w:lang w:eastAsia="x-none"/>
        </w:rPr>
        <w:t>Option 1: A transmission can reserve resources for none, one, or more than one blind retransmission</w:t>
      </w:r>
    </w:p>
    <w:p w14:paraId="3E498CAF" w14:textId="77777777" w:rsidR="005C0160" w:rsidRPr="005C0160" w:rsidRDefault="005C0160" w:rsidP="00371CFD">
      <w:pPr>
        <w:numPr>
          <w:ilvl w:val="1"/>
          <w:numId w:val="8"/>
        </w:numPr>
        <w:overflowPunct/>
        <w:autoSpaceDE/>
        <w:autoSpaceDN/>
        <w:adjustRightInd/>
        <w:spacing w:after="0"/>
        <w:textAlignment w:val="auto"/>
        <w:rPr>
          <w:rFonts w:ascii="Times" w:eastAsia="Batang" w:hAnsi="Times"/>
          <w:lang w:eastAsia="x-none"/>
        </w:rPr>
      </w:pPr>
      <w:r w:rsidRPr="005C0160">
        <w:rPr>
          <w:rFonts w:ascii="Times" w:eastAsia="Batang" w:hAnsi="Times"/>
          <w:lang w:eastAsia="x-none"/>
        </w:rPr>
        <w:t xml:space="preserve">Option 2: </w:t>
      </w:r>
      <w:r w:rsidRPr="00D64335">
        <w:rPr>
          <w:rFonts w:ascii="Times" w:eastAsia="Batang" w:hAnsi="Times"/>
          <w:lang w:eastAsia="x-none"/>
        </w:rPr>
        <w:t>A transmission can reserve resource for none or one blind retransmission</w:t>
      </w:r>
    </w:p>
    <w:p w14:paraId="376A459E" w14:textId="77777777" w:rsidR="005C0160" w:rsidRPr="005C0160" w:rsidRDefault="005C0160" w:rsidP="005C0160">
      <w:pPr>
        <w:overflowPunct/>
        <w:autoSpaceDE/>
        <w:autoSpaceDN/>
        <w:adjustRightInd/>
        <w:spacing w:after="0"/>
        <w:textAlignment w:val="auto"/>
        <w:rPr>
          <w:rFonts w:ascii="Times" w:eastAsia="Batang" w:hAnsi="Times"/>
          <w:lang w:val="en-GB"/>
        </w:rPr>
      </w:pPr>
      <w:r w:rsidRPr="005C0160">
        <w:rPr>
          <w:rFonts w:ascii="Times" w:eastAsia="Batang" w:hAnsi="Times"/>
          <w:highlight w:val="green"/>
          <w:lang w:val="en-GB"/>
        </w:rPr>
        <w:t>Agreements</w:t>
      </w:r>
      <w:r w:rsidRPr="005C0160">
        <w:rPr>
          <w:rFonts w:ascii="Times" w:eastAsia="Batang" w:hAnsi="Times"/>
          <w:lang w:val="en-GB"/>
        </w:rPr>
        <w:t>:</w:t>
      </w:r>
    </w:p>
    <w:p w14:paraId="02FD8429" w14:textId="77777777" w:rsidR="005C0160" w:rsidRPr="005C0160" w:rsidRDefault="005C0160" w:rsidP="00371CFD">
      <w:pPr>
        <w:numPr>
          <w:ilvl w:val="0"/>
          <w:numId w:val="10"/>
        </w:numPr>
        <w:overflowPunct/>
        <w:autoSpaceDE/>
        <w:autoSpaceDN/>
        <w:adjustRightInd/>
        <w:spacing w:after="0"/>
        <w:jc w:val="both"/>
        <w:textAlignment w:val="auto"/>
      </w:pPr>
      <w:r w:rsidRPr="005C0160">
        <w:t>Resource selection window is defined as a time interval where a UE selects sidelink resources for transmission</w:t>
      </w:r>
    </w:p>
    <w:p w14:paraId="52C3D07E" w14:textId="77777777" w:rsidR="005C0160" w:rsidRPr="005C0160" w:rsidRDefault="005C0160" w:rsidP="00371CFD">
      <w:pPr>
        <w:numPr>
          <w:ilvl w:val="1"/>
          <w:numId w:val="10"/>
        </w:numPr>
        <w:overflowPunct/>
        <w:autoSpaceDE/>
        <w:autoSpaceDN/>
        <w:adjustRightInd/>
        <w:spacing w:after="0"/>
        <w:jc w:val="both"/>
        <w:textAlignment w:val="auto"/>
        <w:rPr>
          <w:rFonts w:ascii="Times" w:eastAsia="Batang" w:hAnsi="Times"/>
          <w:lang w:val="en-GB" w:eastAsia="x-none"/>
        </w:rPr>
      </w:pPr>
      <w:r w:rsidRPr="005C0160">
        <w:rPr>
          <w:rFonts w:ascii="Times" w:eastAsia="Batang" w:hAnsi="Times"/>
          <w:lang w:val="en-GB" w:eastAsia="x-none"/>
        </w:rPr>
        <w:t xml:space="preserve">The </w:t>
      </w:r>
      <w:r w:rsidRPr="00D64335">
        <w:rPr>
          <w:rFonts w:ascii="Times" w:eastAsia="Batang" w:hAnsi="Times"/>
          <w:lang w:val="en-GB" w:eastAsia="x-none"/>
        </w:rPr>
        <w:t>resource selection window</w:t>
      </w:r>
      <w:r w:rsidRPr="005C0160">
        <w:rPr>
          <w:rFonts w:ascii="Times" w:eastAsia="Batang" w:hAnsi="Times"/>
          <w:lang w:val="en-GB" w:eastAsia="x-none"/>
        </w:rPr>
        <w:t xml:space="preserve"> starts T1 </w:t>
      </w:r>
      <w:r w:rsidRPr="005C0160">
        <w:rPr>
          <w:rFonts w:ascii="Times" w:eastAsia="Batang" w:hAnsi="Times" w:cs="Times"/>
          <w:lang w:val="en-GB" w:eastAsia="x-none"/>
        </w:rPr>
        <w:t xml:space="preserve">≥ </w:t>
      </w:r>
      <w:r w:rsidRPr="005C0160">
        <w:rPr>
          <w:rFonts w:ascii="Times" w:eastAsia="Batang" w:hAnsi="Times"/>
          <w:lang w:val="en-GB" w:eastAsia="x-none"/>
        </w:rPr>
        <w:t>0 after a resource (re-)selection trigger and is bounded by at least a remaining packet delay budget</w:t>
      </w:r>
    </w:p>
    <w:p w14:paraId="3D224313" w14:textId="77777777" w:rsidR="005C0160" w:rsidRPr="005C0160" w:rsidRDefault="005C0160" w:rsidP="00371CFD">
      <w:pPr>
        <w:numPr>
          <w:ilvl w:val="1"/>
          <w:numId w:val="10"/>
        </w:numPr>
        <w:overflowPunct/>
        <w:autoSpaceDE/>
        <w:autoSpaceDN/>
        <w:adjustRightInd/>
        <w:spacing w:after="0"/>
        <w:jc w:val="both"/>
        <w:textAlignment w:val="auto"/>
        <w:rPr>
          <w:rFonts w:ascii="Times" w:eastAsia="Batang" w:hAnsi="Times"/>
          <w:lang w:val="en-GB" w:eastAsia="x-none"/>
        </w:rPr>
      </w:pPr>
      <w:r w:rsidRPr="005C0160">
        <w:rPr>
          <w:rFonts w:ascii="Times" w:eastAsia="Batang" w:hAnsi="Times"/>
          <w:lang w:val="en-GB" w:eastAsia="x-none"/>
        </w:rPr>
        <w:t xml:space="preserve">FFS T1 </w:t>
      </w:r>
      <w:r w:rsidRPr="005C0160">
        <w:rPr>
          <w:rFonts w:ascii="Times" w:eastAsia="Batang" w:hAnsi="Times" w:cs="Times"/>
          <w:lang w:val="en-GB" w:eastAsia="x-none"/>
        </w:rPr>
        <w:t>value</w:t>
      </w:r>
      <w:r w:rsidRPr="005C0160">
        <w:rPr>
          <w:rFonts w:ascii="Times" w:eastAsia="Batang" w:hAnsi="Times"/>
          <w:lang w:val="en-GB" w:eastAsia="x-none"/>
        </w:rPr>
        <w:t>, whether it is measured in slots, symbols, ms, etc.</w:t>
      </w:r>
    </w:p>
    <w:p w14:paraId="6673FD73" w14:textId="77777777" w:rsidR="005C0160" w:rsidRPr="005C0160" w:rsidRDefault="005C0160" w:rsidP="00371CFD">
      <w:pPr>
        <w:numPr>
          <w:ilvl w:val="1"/>
          <w:numId w:val="10"/>
        </w:numPr>
        <w:overflowPunct/>
        <w:autoSpaceDE/>
        <w:autoSpaceDN/>
        <w:adjustRightInd/>
        <w:spacing w:after="0"/>
        <w:jc w:val="both"/>
        <w:textAlignment w:val="auto"/>
        <w:rPr>
          <w:rFonts w:ascii="Times" w:eastAsia="Batang" w:hAnsi="Times"/>
          <w:lang w:val="en-GB" w:eastAsia="x-none"/>
        </w:rPr>
      </w:pPr>
      <w:r w:rsidRPr="005C0160">
        <w:rPr>
          <w:rFonts w:ascii="Times" w:eastAsia="Batang" w:hAnsi="Times"/>
          <w:lang w:val="en-GB" w:eastAsia="x-none"/>
        </w:rPr>
        <w:t>FFS other conditions</w:t>
      </w:r>
    </w:p>
    <w:p w14:paraId="4A52BF6B" w14:textId="77777777" w:rsidR="00D52029" w:rsidRPr="00C66E2E" w:rsidRDefault="00D52029" w:rsidP="00D52029">
      <w:pPr>
        <w:rPr>
          <w:b/>
          <w:lang w:eastAsia="x-none"/>
        </w:rPr>
      </w:pPr>
      <w:r w:rsidRPr="00C66E2E">
        <w:rPr>
          <w:highlight w:val="green"/>
          <w:lang w:eastAsia="x-none"/>
        </w:rPr>
        <w:t>Agreements</w:t>
      </w:r>
      <w:r w:rsidRPr="00C66E2E">
        <w:rPr>
          <w:b/>
          <w:lang w:eastAsia="x-none"/>
        </w:rPr>
        <w:t>:</w:t>
      </w:r>
    </w:p>
    <w:p w14:paraId="63865299" w14:textId="77777777" w:rsidR="00D52029" w:rsidRPr="00C66E2E" w:rsidRDefault="00D52029" w:rsidP="00371CFD">
      <w:pPr>
        <w:numPr>
          <w:ilvl w:val="0"/>
          <w:numId w:val="8"/>
        </w:numPr>
        <w:overflowPunct/>
        <w:autoSpaceDE/>
        <w:autoSpaceDN/>
        <w:adjustRightInd/>
        <w:spacing w:after="0"/>
        <w:jc w:val="both"/>
        <w:textAlignment w:val="auto"/>
        <w:rPr>
          <w:lang w:eastAsia="x-none"/>
        </w:rPr>
      </w:pPr>
      <w:r w:rsidRPr="00C66E2E">
        <w:rPr>
          <w:lang w:eastAsia="x-none"/>
        </w:rPr>
        <w:t>NR V2X supports an initial transmission of a TB without reservation, based on sensing and resource selection procedure</w:t>
      </w:r>
    </w:p>
    <w:p w14:paraId="331B928C" w14:textId="77777777" w:rsidR="00D52029" w:rsidRPr="00C66E2E" w:rsidRDefault="00D52029" w:rsidP="00371CFD">
      <w:pPr>
        <w:numPr>
          <w:ilvl w:val="0"/>
          <w:numId w:val="8"/>
        </w:numPr>
        <w:overflowPunct/>
        <w:autoSpaceDE/>
        <w:autoSpaceDN/>
        <w:adjustRightInd/>
        <w:spacing w:after="0"/>
        <w:jc w:val="both"/>
        <w:textAlignment w:val="auto"/>
        <w:rPr>
          <w:lang w:eastAsia="x-none"/>
        </w:rPr>
      </w:pPr>
      <w:r w:rsidRPr="00C66E2E">
        <w:rPr>
          <w:lang w:eastAsia="x-none"/>
        </w:rPr>
        <w:t>NR V2X supports reservation of a sidelink resource for an initial transmission of a TB at least by an SCI associated with a different TB, based on sensing and resource selection procedure</w:t>
      </w:r>
    </w:p>
    <w:p w14:paraId="43D1CBF7" w14:textId="77777777" w:rsidR="00D52029" w:rsidRPr="00C66E2E" w:rsidRDefault="00D52029" w:rsidP="00371CFD">
      <w:pPr>
        <w:numPr>
          <w:ilvl w:val="1"/>
          <w:numId w:val="8"/>
        </w:numPr>
        <w:overflowPunct/>
        <w:autoSpaceDE/>
        <w:autoSpaceDN/>
        <w:adjustRightInd/>
        <w:spacing w:after="0"/>
        <w:jc w:val="both"/>
        <w:textAlignment w:val="auto"/>
        <w:rPr>
          <w:lang w:eastAsia="x-none"/>
        </w:rPr>
      </w:pPr>
      <w:r w:rsidRPr="00C66E2E">
        <w:rPr>
          <w:lang w:eastAsia="x-none"/>
        </w:rPr>
        <w:t>This functionality can be enabled/disabled by (pre-)configuration</w:t>
      </w:r>
    </w:p>
    <w:p w14:paraId="7132F0F4" w14:textId="628AAB07" w:rsidR="00D52029" w:rsidRPr="00D52029" w:rsidRDefault="00D52029" w:rsidP="00371CFD">
      <w:pPr>
        <w:numPr>
          <w:ilvl w:val="0"/>
          <w:numId w:val="8"/>
        </w:numPr>
        <w:overflowPunct/>
        <w:autoSpaceDE/>
        <w:autoSpaceDN/>
        <w:adjustRightInd/>
        <w:spacing w:after="120"/>
        <w:ind w:left="714" w:hanging="357"/>
        <w:jc w:val="both"/>
        <w:textAlignment w:val="auto"/>
        <w:rPr>
          <w:lang w:eastAsia="x-none"/>
        </w:rPr>
      </w:pPr>
      <w:r w:rsidRPr="00D52029">
        <w:rPr>
          <w:lang w:eastAsia="x-none"/>
        </w:rPr>
        <w:t xml:space="preserve">FFS </w:t>
      </w:r>
      <w:r w:rsidRPr="00D64335">
        <w:rPr>
          <w:lang w:eastAsia="x-none"/>
        </w:rPr>
        <w:t>Standalone PSCCH transmissions for resource reservations</w:t>
      </w:r>
      <w:r w:rsidRPr="00D52029">
        <w:rPr>
          <w:lang w:eastAsia="x-none"/>
        </w:rPr>
        <w:t xml:space="preserve"> are supported in NR V2X</w:t>
      </w:r>
    </w:p>
    <w:p w14:paraId="10FE7E20" w14:textId="77777777" w:rsidR="00D52029" w:rsidRPr="000B6914" w:rsidRDefault="00D52029" w:rsidP="00D52029">
      <w:pPr>
        <w:pStyle w:val="3GPPAgreements"/>
        <w:numPr>
          <w:ilvl w:val="0"/>
          <w:numId w:val="0"/>
        </w:numPr>
        <w:ind w:left="284" w:hanging="284"/>
        <w:rPr>
          <w:sz w:val="20"/>
        </w:rPr>
      </w:pPr>
      <w:r w:rsidRPr="000B6914">
        <w:rPr>
          <w:sz w:val="20"/>
          <w:highlight w:val="green"/>
        </w:rPr>
        <w:t>Agreements</w:t>
      </w:r>
      <w:r w:rsidRPr="000B6914">
        <w:rPr>
          <w:sz w:val="20"/>
        </w:rPr>
        <w:t>:</w:t>
      </w:r>
    </w:p>
    <w:p w14:paraId="0E395464" w14:textId="77777777" w:rsidR="00D52029" w:rsidRPr="000B6914" w:rsidRDefault="00D52029" w:rsidP="00371CFD">
      <w:pPr>
        <w:pStyle w:val="3GPPAgreements"/>
        <w:numPr>
          <w:ilvl w:val="0"/>
          <w:numId w:val="6"/>
        </w:numPr>
        <w:rPr>
          <w:sz w:val="20"/>
        </w:rPr>
      </w:pPr>
      <w:r w:rsidRPr="000B6914">
        <w:rPr>
          <w:sz w:val="20"/>
        </w:rPr>
        <w:t>Mode-2 sensing procedure utilizes the following sidelink measurement</w:t>
      </w:r>
    </w:p>
    <w:p w14:paraId="48672DBC" w14:textId="77777777" w:rsidR="00D52029" w:rsidRPr="000B6914" w:rsidRDefault="00D52029" w:rsidP="00371CFD">
      <w:pPr>
        <w:pStyle w:val="3GPPAgreements"/>
        <w:numPr>
          <w:ilvl w:val="1"/>
          <w:numId w:val="6"/>
        </w:numPr>
        <w:rPr>
          <w:sz w:val="20"/>
        </w:rPr>
      </w:pPr>
      <w:r w:rsidRPr="000B6914">
        <w:rPr>
          <w:sz w:val="20"/>
        </w:rPr>
        <w:t xml:space="preserve">L1 </w:t>
      </w:r>
      <w:r w:rsidRPr="00D64335">
        <w:rPr>
          <w:sz w:val="20"/>
        </w:rPr>
        <w:t>SL-RSRP based on sidelink DMRS</w:t>
      </w:r>
      <w:r w:rsidRPr="000B6914">
        <w:rPr>
          <w:sz w:val="20"/>
        </w:rPr>
        <w:t xml:space="preserve"> when the corresponding SCI is decoded</w:t>
      </w:r>
    </w:p>
    <w:p w14:paraId="395261FC" w14:textId="77777777" w:rsidR="00D52029" w:rsidRPr="000B6914" w:rsidRDefault="00D52029" w:rsidP="00371CFD">
      <w:pPr>
        <w:pStyle w:val="3GPPAgreements"/>
        <w:numPr>
          <w:ilvl w:val="2"/>
          <w:numId w:val="6"/>
        </w:numPr>
        <w:rPr>
          <w:sz w:val="20"/>
        </w:rPr>
      </w:pPr>
      <w:r w:rsidRPr="000B6914">
        <w:rPr>
          <w:sz w:val="20"/>
        </w:rPr>
        <w:t>FFS whether/which measurement is used if the corresponding SCI is not decoded e.g. SL-RSRP after blind DMRS detection, SL-RSSI</w:t>
      </w:r>
    </w:p>
    <w:p w14:paraId="65436941" w14:textId="77777777" w:rsidR="00686B15" w:rsidRDefault="00686B15" w:rsidP="00DC0384">
      <w:pPr>
        <w:jc w:val="both"/>
        <w:rPr>
          <w:rFonts w:eastAsiaTheme="minorEastAsia"/>
          <w:lang w:val="en-GB" w:eastAsia="zh-TW"/>
        </w:rPr>
      </w:pPr>
    </w:p>
    <w:p w14:paraId="44405258" w14:textId="48402F8A" w:rsidR="006D5747" w:rsidRDefault="00920471" w:rsidP="00DC0384">
      <w:pPr>
        <w:jc w:val="both"/>
        <w:rPr>
          <w:rFonts w:eastAsiaTheme="minorEastAsia"/>
          <w:lang w:val="en-GB" w:eastAsia="zh-TW"/>
        </w:rPr>
      </w:pPr>
      <w:r>
        <w:rPr>
          <w:rFonts w:eastAsiaTheme="minorEastAsia" w:hint="eastAsia"/>
          <w:lang w:val="en-GB" w:eastAsia="zh-TW"/>
        </w:rPr>
        <w:t xml:space="preserve">In </w:t>
      </w:r>
      <w:r w:rsidR="00F61BB9">
        <w:rPr>
          <w:rFonts w:eastAsiaTheme="minorEastAsia"/>
          <w:lang w:val="en-GB" w:eastAsia="zh-TW"/>
        </w:rPr>
        <w:t xml:space="preserve">this contribution, we </w:t>
      </w:r>
      <w:r w:rsidR="006D5747">
        <w:rPr>
          <w:rFonts w:eastAsiaTheme="minorEastAsia"/>
          <w:lang w:val="en-GB" w:eastAsia="zh-TW"/>
        </w:rPr>
        <w:t xml:space="preserve">would like to </w:t>
      </w:r>
      <w:r w:rsidR="006A48F8">
        <w:rPr>
          <w:rFonts w:eastAsiaTheme="minorEastAsia"/>
          <w:lang w:val="en-GB" w:eastAsia="zh-TW"/>
        </w:rPr>
        <w:t>discuss</w:t>
      </w:r>
      <w:r w:rsidR="00916CC8">
        <w:rPr>
          <w:rFonts w:eastAsiaTheme="minorEastAsia"/>
          <w:lang w:val="en-GB" w:eastAsia="zh-TW"/>
        </w:rPr>
        <w:t xml:space="preserve"> </w:t>
      </w:r>
      <w:r w:rsidR="00EA3743">
        <w:rPr>
          <w:rFonts w:eastAsiaTheme="minorEastAsia"/>
          <w:lang w:val="en-GB" w:eastAsia="zh-TW"/>
        </w:rPr>
        <w:t xml:space="preserve">NR V2X </w:t>
      </w:r>
      <w:r w:rsidR="00C91229">
        <w:rPr>
          <w:rFonts w:eastAsiaTheme="minorEastAsia"/>
          <w:lang w:val="en-GB" w:eastAsia="zh-TW"/>
        </w:rPr>
        <w:t>sidelink</w:t>
      </w:r>
      <w:r w:rsidR="00A01D85">
        <w:rPr>
          <w:rFonts w:eastAsiaTheme="minorEastAsia"/>
          <w:lang w:val="en-GB" w:eastAsia="zh-TW"/>
        </w:rPr>
        <w:t xml:space="preserve"> M</w:t>
      </w:r>
      <w:r w:rsidR="000F17D2">
        <w:rPr>
          <w:rFonts w:eastAsiaTheme="minorEastAsia"/>
          <w:lang w:val="en-GB" w:eastAsia="zh-TW"/>
        </w:rPr>
        <w:t>ode</w:t>
      </w:r>
      <w:r w:rsidR="00A01D85">
        <w:rPr>
          <w:rFonts w:eastAsiaTheme="minorEastAsia"/>
          <w:lang w:val="en-GB" w:eastAsia="zh-TW"/>
        </w:rPr>
        <w:t xml:space="preserve"> </w:t>
      </w:r>
      <w:r w:rsidR="000F17D2">
        <w:rPr>
          <w:rFonts w:eastAsiaTheme="minorEastAsia"/>
          <w:lang w:val="en-GB" w:eastAsia="zh-TW"/>
        </w:rPr>
        <w:t>2</w:t>
      </w:r>
      <w:r w:rsidR="00C91229">
        <w:rPr>
          <w:rFonts w:eastAsiaTheme="minorEastAsia"/>
          <w:lang w:val="en-GB" w:eastAsia="zh-TW"/>
        </w:rPr>
        <w:t xml:space="preserve"> resource allocation mechanism</w:t>
      </w:r>
      <w:r w:rsidR="00CB4D89">
        <w:rPr>
          <w:rFonts w:eastAsiaTheme="minorEastAsia"/>
          <w:lang w:val="en-GB" w:eastAsia="zh-TW"/>
        </w:rPr>
        <w:t>s</w:t>
      </w:r>
      <w:r w:rsidR="00F547F5">
        <w:rPr>
          <w:rFonts w:eastAsiaTheme="minorEastAsia"/>
          <w:lang w:val="en-GB" w:eastAsia="zh-TW"/>
        </w:rPr>
        <w:t xml:space="preserve"> and the remaining issues. </w:t>
      </w:r>
    </w:p>
    <w:p w14:paraId="135BDE41" w14:textId="2A1086CE" w:rsidR="00BC6E03" w:rsidRPr="002022BB" w:rsidRDefault="00824339" w:rsidP="00073410">
      <w:pPr>
        <w:pStyle w:val="Heading1"/>
        <w:rPr>
          <w:lang w:eastAsia="zh-TW"/>
        </w:rPr>
      </w:pPr>
      <w:r>
        <w:rPr>
          <w:lang w:eastAsia="zh-TW"/>
        </w:rPr>
        <w:t>Discussion</w:t>
      </w:r>
      <w:r w:rsidR="00BC6E03">
        <w:rPr>
          <w:lang w:eastAsia="zh-TW"/>
        </w:rPr>
        <w:t xml:space="preserve"> on </w:t>
      </w:r>
      <w:r w:rsidR="00073410">
        <w:rPr>
          <w:lang w:eastAsia="zh-TW"/>
        </w:rPr>
        <w:t>Resource Allocation Mode 2</w:t>
      </w:r>
    </w:p>
    <w:p w14:paraId="510A61F9" w14:textId="7C6B16C3" w:rsidR="00175BEC" w:rsidRDefault="00B0488D" w:rsidP="002022BB">
      <w:pPr>
        <w:jc w:val="both"/>
      </w:pPr>
      <w:r>
        <w:t>Mode 2</w:t>
      </w:r>
      <w:r w:rsidR="00740D68">
        <w:t xml:space="preserve"> </w:t>
      </w:r>
      <w:r>
        <w:t xml:space="preserve">is </w:t>
      </w:r>
      <w:r w:rsidR="00175BEC">
        <w:t>a sidelink resource allocation</w:t>
      </w:r>
      <w:r w:rsidR="001902B7">
        <w:t xml:space="preserve"> mode</w:t>
      </w:r>
      <w:r w:rsidR="00175BEC">
        <w:t xml:space="preserve"> for transmission with </w:t>
      </w:r>
      <w:r>
        <w:t>UE autonomous</w:t>
      </w:r>
      <w:r w:rsidR="001902B7">
        <w:t xml:space="preserve"> resource</w:t>
      </w:r>
      <w:r w:rsidR="00175BEC">
        <w:t xml:space="preserve"> selection. In LTE V2X, only basic safety messages are supported</w:t>
      </w:r>
      <w:r w:rsidR="001902B7">
        <w:t>,</w:t>
      </w:r>
      <w:r w:rsidR="00175BEC">
        <w:t xml:space="preserve"> which </w:t>
      </w:r>
      <w:r w:rsidR="001902B7">
        <w:t>are</w:t>
      </w:r>
      <w:r w:rsidR="00175BEC">
        <w:t xml:space="preserve"> periodic and </w:t>
      </w:r>
      <w:r w:rsidR="001902B7">
        <w:t xml:space="preserve">follow a </w:t>
      </w:r>
      <w:r w:rsidR="00175BEC">
        <w:t>fixed</w:t>
      </w:r>
      <w:r w:rsidR="001902B7">
        <w:t xml:space="preserve"> pattern of</w:t>
      </w:r>
      <w:r w:rsidR="00175BEC">
        <w:t xml:space="preserve"> packet size. A</w:t>
      </w:r>
      <w:r w:rsidR="002022BB" w:rsidRPr="002022BB">
        <w:t xml:space="preserve">dvanced safety messages </w:t>
      </w:r>
      <w:r w:rsidR="00175BEC">
        <w:t xml:space="preserve">supported by NR V2X </w:t>
      </w:r>
      <w:r w:rsidR="001902B7">
        <w:t>can</w:t>
      </w:r>
      <w:r w:rsidR="001902B7" w:rsidRPr="002022BB">
        <w:t xml:space="preserve"> </w:t>
      </w:r>
      <w:r w:rsidR="002022BB" w:rsidRPr="002022BB">
        <w:t xml:space="preserve">be aperiodic, periodic, of fixed packet sizes, or of varying packet sizes. </w:t>
      </w:r>
      <w:r w:rsidR="00175BEC">
        <w:t xml:space="preserve">Therefore, resource allocation for aperiodic or variant packet size traffics should be designed. </w:t>
      </w:r>
    </w:p>
    <w:p w14:paraId="2AE209CA" w14:textId="165D655A" w:rsidR="002022BB" w:rsidRPr="002022BB" w:rsidRDefault="002022BB" w:rsidP="002022BB">
      <w:pPr>
        <w:jc w:val="both"/>
      </w:pPr>
      <w:r w:rsidRPr="002022BB">
        <w:lastRenderedPageBreak/>
        <w:t>If resource pools are independent for periodic and aperiodic traffics, LTE V2X semi-static sensing method can be reused for periodic traffics in NR V2X and a new sensing method would be designed for aperiodic traffics in NR V2X. On the other hand, if resource pools are shared for periodic and aperiodic traffics, a new unified sensing method should be designed for NR V2X.</w:t>
      </w:r>
    </w:p>
    <w:p w14:paraId="4A335DC1" w14:textId="6DE28AF1" w:rsidR="00196D9F" w:rsidRPr="00196D9F" w:rsidRDefault="00196D9F" w:rsidP="00196D9F">
      <w:pPr>
        <w:jc w:val="both"/>
      </w:pPr>
      <w:r>
        <w:t xml:space="preserve">In LTE V2X, </w:t>
      </w:r>
      <w:r w:rsidR="00D26FB4">
        <w:t>the procedure of autonomous resource selection</w:t>
      </w:r>
      <w:r w:rsidRPr="00196D9F">
        <w:t xml:space="preserve"> includes </w:t>
      </w:r>
    </w:p>
    <w:p w14:paraId="643ACF99" w14:textId="77777777" w:rsidR="00196D9F" w:rsidRPr="00196D9F" w:rsidRDefault="00196D9F" w:rsidP="00371CFD">
      <w:pPr>
        <w:pStyle w:val="ListParagraph"/>
        <w:numPr>
          <w:ilvl w:val="0"/>
          <w:numId w:val="7"/>
        </w:numPr>
        <w:jc w:val="both"/>
        <w:rPr>
          <w:rFonts w:ascii="Times New Roman" w:hAnsi="Times New Roman"/>
          <w:sz w:val="20"/>
          <w:szCs w:val="20"/>
        </w:rPr>
      </w:pPr>
      <w:r w:rsidRPr="00196D9F">
        <w:rPr>
          <w:rFonts w:ascii="Times New Roman" w:hAnsi="Times New Roman"/>
          <w:sz w:val="20"/>
          <w:szCs w:val="20"/>
        </w:rPr>
        <w:t xml:space="preserve">gathering information by sensing and measurement to identify the occupied resource, </w:t>
      </w:r>
    </w:p>
    <w:p w14:paraId="59E156A4" w14:textId="26F920CF" w:rsidR="00196D9F" w:rsidRPr="00196D9F" w:rsidRDefault="002022BB" w:rsidP="00371CFD">
      <w:pPr>
        <w:pStyle w:val="ListParagraph"/>
        <w:numPr>
          <w:ilvl w:val="0"/>
          <w:numId w:val="7"/>
        </w:numPr>
        <w:jc w:val="both"/>
        <w:rPr>
          <w:rFonts w:ascii="Times New Roman" w:hAnsi="Times New Roman"/>
          <w:sz w:val="20"/>
          <w:szCs w:val="20"/>
        </w:rPr>
      </w:pPr>
      <w:r>
        <w:rPr>
          <w:rFonts w:ascii="Times New Roman" w:hAnsi="Times New Roman"/>
          <w:sz w:val="20"/>
          <w:szCs w:val="20"/>
        </w:rPr>
        <w:t xml:space="preserve">excluding </w:t>
      </w:r>
      <w:r w:rsidR="00196D9F" w:rsidRPr="00196D9F">
        <w:rPr>
          <w:rFonts w:ascii="Times New Roman" w:hAnsi="Times New Roman"/>
          <w:sz w:val="20"/>
          <w:szCs w:val="20"/>
        </w:rPr>
        <w:t xml:space="preserve">the occupied resource to form </w:t>
      </w:r>
      <w:r>
        <w:rPr>
          <w:rFonts w:ascii="Times New Roman" w:hAnsi="Times New Roman"/>
          <w:sz w:val="20"/>
          <w:szCs w:val="20"/>
        </w:rPr>
        <w:t xml:space="preserve">a candidate resource set, and </w:t>
      </w:r>
    </w:p>
    <w:p w14:paraId="27B9A812" w14:textId="3E6C7659" w:rsidR="00196D9F" w:rsidRPr="002022BB" w:rsidRDefault="00196D9F" w:rsidP="00371CFD">
      <w:pPr>
        <w:pStyle w:val="ListParagraph"/>
        <w:numPr>
          <w:ilvl w:val="0"/>
          <w:numId w:val="7"/>
        </w:numPr>
        <w:jc w:val="both"/>
      </w:pPr>
      <w:r w:rsidRPr="00196D9F">
        <w:rPr>
          <w:rFonts w:ascii="Times New Roman" w:hAnsi="Times New Roman"/>
          <w:sz w:val="20"/>
          <w:szCs w:val="20"/>
        </w:rPr>
        <w:t>select</w:t>
      </w:r>
      <w:r w:rsidR="002022BB">
        <w:rPr>
          <w:rFonts w:ascii="Times New Roman" w:hAnsi="Times New Roman"/>
          <w:sz w:val="20"/>
          <w:szCs w:val="20"/>
        </w:rPr>
        <w:t xml:space="preserve">ing </w:t>
      </w:r>
      <w:r w:rsidRPr="00196D9F">
        <w:rPr>
          <w:rFonts w:ascii="Times New Roman" w:hAnsi="Times New Roman"/>
          <w:sz w:val="20"/>
          <w:szCs w:val="20"/>
        </w:rPr>
        <w:t>resource from the</w:t>
      </w:r>
      <w:r w:rsidR="002022BB">
        <w:rPr>
          <w:rFonts w:ascii="Times New Roman" w:hAnsi="Times New Roman"/>
          <w:sz w:val="20"/>
          <w:szCs w:val="20"/>
        </w:rPr>
        <w:t xml:space="preserve"> candidate resource </w:t>
      </w:r>
      <w:r w:rsidRPr="00196D9F">
        <w:rPr>
          <w:rFonts w:ascii="Times New Roman" w:hAnsi="Times New Roman"/>
          <w:sz w:val="20"/>
          <w:szCs w:val="20"/>
        </w:rPr>
        <w:t>set for transmission.</w:t>
      </w:r>
    </w:p>
    <w:p w14:paraId="7B5B2F0B" w14:textId="058B040A" w:rsidR="002022BB" w:rsidRDefault="002022BB" w:rsidP="002022BB">
      <w:pPr>
        <w:spacing w:before="120" w:after="120"/>
        <w:jc w:val="both"/>
      </w:pPr>
      <w:r>
        <w:t>LTE V2X autonomous resource selection procedure can be the baseline for NR V2X.</w:t>
      </w:r>
    </w:p>
    <w:p w14:paraId="5791117C" w14:textId="33EE3609" w:rsidR="00F547F5" w:rsidRDefault="00F547F5" w:rsidP="00D64335">
      <w:pPr>
        <w:pStyle w:val="Heading2"/>
      </w:pPr>
      <w:r>
        <w:t>Resource reservation for sidelink transmissions</w:t>
      </w:r>
    </w:p>
    <w:p w14:paraId="50F59ACC" w14:textId="77777777" w:rsidR="00175BEC" w:rsidRDefault="00175BEC" w:rsidP="00D64335">
      <w:pPr>
        <w:pStyle w:val="Heading3"/>
      </w:pPr>
      <w:r w:rsidRPr="00175BEC">
        <w:t>R</w:t>
      </w:r>
      <w:r>
        <w:t>esource reservation for blind retransmission</w:t>
      </w:r>
    </w:p>
    <w:p w14:paraId="5DAA02E8" w14:textId="77777777" w:rsidR="00995E94" w:rsidRDefault="00995E94" w:rsidP="00175BEC">
      <w:pPr>
        <w:jc w:val="both"/>
      </w:pPr>
      <w:r>
        <w:t>In LTE V2X, resource reservation has been introduced for periodic traffic. This concept can be reused in NR V2X for re-transmission and new transmission under periodic or aperiodic traffics.</w:t>
      </w:r>
    </w:p>
    <w:p w14:paraId="2B7D8CD3" w14:textId="0737D7AB" w:rsidR="00F547F5" w:rsidRDefault="00F547F5" w:rsidP="00175BEC">
      <w:pPr>
        <w:jc w:val="both"/>
      </w:pPr>
      <w:r>
        <w:t xml:space="preserve">The main purpose of </w:t>
      </w:r>
      <w:r w:rsidR="00995E94">
        <w:t xml:space="preserve">blind </w:t>
      </w:r>
      <w:r>
        <w:t>retransmission of one TB is to resolve half duplex problem</w:t>
      </w:r>
      <w:r w:rsidR="00995E94">
        <w:t xml:space="preserve"> in LTE V2X.</w:t>
      </w:r>
      <w:r>
        <w:t xml:space="preserve"> Initial transmission and re-transmission resources should be in the same </w:t>
      </w:r>
      <w:r w:rsidR="00995E94">
        <w:t xml:space="preserve">resource </w:t>
      </w:r>
      <w:r>
        <w:t>selection window</w:t>
      </w:r>
      <w:r w:rsidR="00995E94">
        <w:t xml:space="preserve"> to reduce the complexity of resource selection. </w:t>
      </w:r>
      <w:r w:rsidR="00B77570">
        <w:t>Enforcing retransmissions to use the same frequency resource as initial transmission is a stringent constraint and cannot benefit from frequency diversity. F</w:t>
      </w:r>
      <w:r>
        <w:t xml:space="preserve">lexible resource allocation for retransmission </w:t>
      </w:r>
      <w:r w:rsidR="00B77570">
        <w:t>is more desirable</w:t>
      </w:r>
      <w:r>
        <w:t>.</w:t>
      </w:r>
    </w:p>
    <w:p w14:paraId="0A904CB4" w14:textId="5B4F2F6D" w:rsidR="00F547F5" w:rsidRDefault="00F547F5"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1</w:t>
      </w:r>
      <w:r w:rsidRPr="000F17D2">
        <w:rPr>
          <w:b/>
          <w:u w:val="single"/>
        </w:rPr>
        <w:fldChar w:fldCharType="end"/>
      </w:r>
      <w:r w:rsidRPr="00B0488D">
        <w:t xml:space="preserve">: </w:t>
      </w:r>
      <w:r>
        <w:t xml:space="preserve">Initial transmission and retransmission </w:t>
      </w:r>
      <w:r w:rsidR="00995E94">
        <w:t xml:space="preserve">can </w:t>
      </w:r>
      <w:r>
        <w:t xml:space="preserve">have </w:t>
      </w:r>
      <w:r w:rsidR="00995E94">
        <w:t>different frequency resource allocation.</w:t>
      </w:r>
    </w:p>
    <w:p w14:paraId="3B63A94C" w14:textId="04598108" w:rsidR="00995E94" w:rsidRDefault="00995E94" w:rsidP="00995E94">
      <w:pPr>
        <w:jc w:val="both"/>
      </w:pPr>
      <w:r>
        <w:t>Two options of resource reservation for blind retransmissions were discussed: look-ahead reservation and chain-based reservation. In look-ahead resource reservation, initial transmission reserves resources for multiple blind retransmission</w:t>
      </w:r>
      <w:r w:rsidR="00306A32">
        <w:t>s</w:t>
      </w:r>
      <w:r>
        <w:t xml:space="preserve">. In chain-based resource reservation, each transmission can reserve resource for next blind retransmission. It is obvious that look-ahead resource reservation can provide better performance, however, all time/frequency resource allocations of the reserved transmissions should be indicated in SCI and result in too large SCI overhead. Based on the tradeoff between sensing performance and SCI overhead, chain-based resource selection is more </w:t>
      </w:r>
      <w:r w:rsidR="005530D3">
        <w:t xml:space="preserve">suitable </w:t>
      </w:r>
      <w:r>
        <w:t>for NR V2X.</w:t>
      </w:r>
    </w:p>
    <w:p w14:paraId="4239B864" w14:textId="0BA00445" w:rsidR="00995E94" w:rsidRDefault="00995E94"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2</w:t>
      </w:r>
      <w:r w:rsidRPr="000F17D2">
        <w:rPr>
          <w:b/>
          <w:u w:val="single"/>
        </w:rPr>
        <w:fldChar w:fldCharType="end"/>
      </w:r>
      <w:r w:rsidRPr="00B0488D">
        <w:t xml:space="preserve">: </w:t>
      </w:r>
      <w:r>
        <w:t>Chain-based resource reservation is supported for blind retransmission in NR V2X.</w:t>
      </w:r>
      <w:r w:rsidR="00073410">
        <w:t xml:space="preserve"> In other words, N</w:t>
      </w:r>
      <w:r w:rsidR="00073410" w:rsidRPr="00073410">
        <w:rPr>
          <w:vertAlign w:val="subscript"/>
        </w:rPr>
        <w:t>M</w:t>
      </w:r>
      <w:r w:rsidR="00073410">
        <w:rPr>
          <w:vertAlign w:val="subscript"/>
        </w:rPr>
        <w:t>AX</w:t>
      </w:r>
      <w:r w:rsidR="00073410">
        <w:t xml:space="preserve"> = 2 is supported.</w:t>
      </w:r>
    </w:p>
    <w:p w14:paraId="741A57E5" w14:textId="77777777" w:rsidR="00175BEC" w:rsidRDefault="00175BEC" w:rsidP="00D64335">
      <w:pPr>
        <w:pStyle w:val="Heading3"/>
      </w:pPr>
      <w:r>
        <w:t>Resource reservation for feedback-based HARQ retransmission</w:t>
      </w:r>
    </w:p>
    <w:p w14:paraId="3C030509" w14:textId="79EAA3D7" w:rsidR="00B37CE2" w:rsidRDefault="00995E94" w:rsidP="00F547F5">
      <w:pPr>
        <w:jc w:val="both"/>
      </w:pPr>
      <w:r>
        <w:t xml:space="preserve">In unicast/groupcast transmission, </w:t>
      </w:r>
      <w:r w:rsidR="00F547F5">
        <w:t xml:space="preserve">HARQ retransmission </w:t>
      </w:r>
      <w:r>
        <w:t xml:space="preserve">can </w:t>
      </w:r>
      <w:r w:rsidR="00146B70">
        <w:t>enhance the reliability of data transmission</w:t>
      </w:r>
      <w:r>
        <w:t xml:space="preserve">. It was agreed that resource reservation for HARQ retransmission is supported in NR V2X. </w:t>
      </w:r>
      <w:r w:rsidR="00A60204">
        <w:t>One drawback of HARQ retransmission resource reservation is</w:t>
      </w:r>
      <w:r w:rsidR="00146B70">
        <w:t xml:space="preserve"> that</w:t>
      </w:r>
      <w:r w:rsidR="00A60204">
        <w:t xml:space="preserve"> the reserved resource might be wasted if the previous transmission is successful. </w:t>
      </w:r>
      <w:r w:rsidR="00146B70">
        <w:t>Since i</w:t>
      </w:r>
      <w:r>
        <w:t>t was</w:t>
      </w:r>
      <w:r w:rsidR="00A60204">
        <w:t xml:space="preserve"> </w:t>
      </w:r>
      <w:r w:rsidR="00146B70">
        <w:t xml:space="preserve">also </w:t>
      </w:r>
      <w:r>
        <w:t xml:space="preserve">agreed that there is no additional SCI signaling </w:t>
      </w:r>
      <w:r w:rsidR="00146B70">
        <w:t xml:space="preserve">from the original TX UE </w:t>
      </w:r>
      <w:r>
        <w:t>to release unused resources</w:t>
      </w:r>
      <w:r w:rsidR="00146B70">
        <w:t>,</w:t>
      </w:r>
      <w:r>
        <w:t xml:space="preserve"> </w:t>
      </w:r>
      <w:r w:rsidR="003B50DE">
        <w:t xml:space="preserve">the other UEs </w:t>
      </w:r>
      <w:r w:rsidR="00146B70">
        <w:t xml:space="preserve">need to monitor </w:t>
      </w:r>
      <w:r w:rsidR="003B50DE">
        <w:t>the ACK/NACK feedback to determine whether the reserved resource can be used</w:t>
      </w:r>
      <w:r w:rsidR="00A60204" w:rsidRPr="004918D2">
        <w:t>.</w:t>
      </w:r>
      <w:r w:rsidR="003B50DE">
        <w:t xml:space="preserve"> </w:t>
      </w:r>
      <w:r w:rsidR="00B37CE2">
        <w:t>There are two possible options for other UEs using the unused resource:</w:t>
      </w:r>
    </w:p>
    <w:p w14:paraId="2070C59C" w14:textId="13C8DD02" w:rsidR="00B37CE2" w:rsidRDefault="00B37CE2" w:rsidP="00F547F5">
      <w:pPr>
        <w:jc w:val="both"/>
      </w:pPr>
      <w:r>
        <w:tab/>
        <w:t xml:space="preserve">Option 1: the other UEs consider the unused resource </w:t>
      </w:r>
      <w:r w:rsidR="00146B70">
        <w:t xml:space="preserve">as </w:t>
      </w:r>
      <w:r>
        <w:t xml:space="preserve">the available </w:t>
      </w:r>
      <w:r w:rsidR="00A01D85">
        <w:t xml:space="preserve">candidate </w:t>
      </w:r>
      <w:r>
        <w:t>resource</w:t>
      </w:r>
      <w:r w:rsidR="00A01D85">
        <w:t>s</w:t>
      </w:r>
      <w:r>
        <w:t xml:space="preserve"> and </w:t>
      </w:r>
      <w:r w:rsidR="00146B70">
        <w:t xml:space="preserve">perform </w:t>
      </w:r>
      <w:r>
        <w:t>the sensing and resource selection procedures,</w:t>
      </w:r>
    </w:p>
    <w:p w14:paraId="4D26E1F3" w14:textId="77777777" w:rsidR="00B37CE2" w:rsidRDefault="00B37CE2" w:rsidP="00B37CE2">
      <w:pPr>
        <w:ind w:firstLine="288"/>
        <w:jc w:val="both"/>
      </w:pPr>
      <w:r>
        <w:t>Option 2: the other UEs directly use the unused resource for data transmission without additional resource selection procedure.</w:t>
      </w:r>
    </w:p>
    <w:p w14:paraId="54C0573C" w14:textId="73367321" w:rsidR="00B37CE2" w:rsidRDefault="00B37CE2" w:rsidP="00B37CE2">
      <w:pPr>
        <w:jc w:val="both"/>
      </w:pPr>
      <w:r>
        <w:lastRenderedPageBreak/>
        <w:t xml:space="preserve">In Option 1, the other UEs need processing time to </w:t>
      </w:r>
      <w:r w:rsidR="00803863">
        <w:t xml:space="preserve">perform </w:t>
      </w:r>
      <w:r>
        <w:t xml:space="preserve">sensing and resource selection as well as data preparation and transmission. The processing time should be less than the duration between ACK received time and the time of unused resource. If the other UEs have such processing time capability, there is no specification impact from RAN1 perspective. </w:t>
      </w:r>
    </w:p>
    <w:p w14:paraId="1AA28CD9" w14:textId="0AEBB05A" w:rsidR="00B37CE2" w:rsidRDefault="00B37CE2" w:rsidP="00B37CE2">
      <w:pPr>
        <w:jc w:val="both"/>
      </w:pPr>
      <w:r>
        <w:t xml:space="preserve">In Option 2, the other UEs should use a new resource selection procedure and some collisions might happen. Therefore, Option 2 is not </w:t>
      </w:r>
      <w:r w:rsidR="00803863">
        <w:t>desirable</w:t>
      </w:r>
      <w:r>
        <w:t>.</w:t>
      </w:r>
    </w:p>
    <w:p w14:paraId="4599AF7D" w14:textId="0DF29386" w:rsidR="00F547F5" w:rsidRDefault="00F547F5"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3</w:t>
      </w:r>
      <w:r w:rsidRPr="000F17D2">
        <w:rPr>
          <w:b/>
          <w:u w:val="single"/>
        </w:rPr>
        <w:fldChar w:fldCharType="end"/>
      </w:r>
      <w:r w:rsidRPr="00B0488D">
        <w:t xml:space="preserve">: </w:t>
      </w:r>
      <w:r w:rsidR="00803863">
        <w:t xml:space="preserve">Other </w:t>
      </w:r>
      <w:r w:rsidR="00B37CE2">
        <w:t>UE</w:t>
      </w:r>
      <w:r w:rsidR="00803863">
        <w:t>s</w:t>
      </w:r>
      <w:r w:rsidR="00B37CE2">
        <w:t xml:space="preserve"> can </w:t>
      </w:r>
      <w:r w:rsidR="00803863">
        <w:t xml:space="preserve">monitor </w:t>
      </w:r>
      <w:r w:rsidR="00B37CE2">
        <w:t xml:space="preserve">the ACK information to use the </w:t>
      </w:r>
      <w:r w:rsidR="000D29A6">
        <w:t>reserved</w:t>
      </w:r>
      <w:r w:rsidR="00B37CE2">
        <w:t xml:space="preserve"> HARQ retransmission resource without specification impact. It </w:t>
      </w:r>
      <w:r w:rsidR="00803863">
        <w:t>is up to</w:t>
      </w:r>
      <w:r w:rsidR="00B37CE2">
        <w:t xml:space="preserve"> UE implementation.</w:t>
      </w:r>
    </w:p>
    <w:p w14:paraId="548F2EC4" w14:textId="129A9EB7" w:rsidR="00995E94" w:rsidRDefault="000D29A6" w:rsidP="00995E94">
      <w:pPr>
        <w:jc w:val="both"/>
      </w:pPr>
      <w:r>
        <w:t xml:space="preserve">Initial transmission and HARQ retransmission resources should be in the same resource selection window to reduce the complexity of resource selection. </w:t>
      </w:r>
      <w:r w:rsidR="001C6794">
        <w:t xml:space="preserve">Enforcing retransmissions to use the same frequency resource as initial transmission is a stringent constraint and cannot benefit from frequency diversity. It is desirable that </w:t>
      </w:r>
      <w:r>
        <w:t>frequency resource allocation of the reservation of HARQ retransmission can be different to that of current or initial transmission.</w:t>
      </w:r>
      <w:r w:rsidR="001C6794">
        <w:t xml:space="preserve"> </w:t>
      </w:r>
    </w:p>
    <w:p w14:paraId="1402090C" w14:textId="5729C9E0" w:rsidR="00995E94" w:rsidRDefault="00995E94" w:rsidP="00995E94">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4</w:t>
      </w:r>
      <w:r w:rsidRPr="000F17D2">
        <w:rPr>
          <w:b/>
          <w:u w:val="single"/>
        </w:rPr>
        <w:fldChar w:fldCharType="end"/>
      </w:r>
      <w:r w:rsidRPr="00B0488D">
        <w:t xml:space="preserve">: </w:t>
      </w:r>
      <w:r>
        <w:t xml:space="preserve">Frequency resource allocation of the reservation of HARQ retransmission can be </w:t>
      </w:r>
      <w:r w:rsidR="00B37CE2">
        <w:t xml:space="preserve">different to </w:t>
      </w:r>
      <w:r>
        <w:t xml:space="preserve">that of </w:t>
      </w:r>
      <w:r w:rsidR="00B37CE2">
        <w:t>current</w:t>
      </w:r>
      <w:r>
        <w:t xml:space="preserve"> </w:t>
      </w:r>
      <w:r w:rsidR="000D29A6">
        <w:t xml:space="preserve">or initial </w:t>
      </w:r>
      <w:r>
        <w:t>transmission.</w:t>
      </w:r>
    </w:p>
    <w:p w14:paraId="5AA05DDC" w14:textId="77777777" w:rsidR="00995E94" w:rsidRDefault="00995E94" w:rsidP="00D64335">
      <w:pPr>
        <w:pStyle w:val="Heading3"/>
      </w:pPr>
      <w:r>
        <w:t>Resource reservation of next TB</w:t>
      </w:r>
    </w:p>
    <w:p w14:paraId="65DCE6C1" w14:textId="7BA8CD80" w:rsidR="00995E94" w:rsidRDefault="00995E94" w:rsidP="00995E94">
      <w:pPr>
        <w:jc w:val="both"/>
      </w:pPr>
      <w:r>
        <w:t>For periodic traffic, the period is deterministic and the UE can reserve the resource</w:t>
      </w:r>
      <w:r w:rsidR="00FA39A1">
        <w:t xml:space="preserve"> of next TB</w:t>
      </w:r>
      <w:r>
        <w:t xml:space="preserve"> with same frequency resource allocation as current transmission.</w:t>
      </w:r>
    </w:p>
    <w:p w14:paraId="2C32A009" w14:textId="05F86549" w:rsidR="00FA39A1" w:rsidRDefault="00FA39A1" w:rsidP="00FA39A1">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5</w:t>
      </w:r>
      <w:r w:rsidRPr="000F17D2">
        <w:rPr>
          <w:b/>
          <w:u w:val="single"/>
        </w:rPr>
        <w:fldChar w:fldCharType="end"/>
      </w:r>
      <w:r w:rsidRPr="00B0488D">
        <w:t xml:space="preserve">: </w:t>
      </w:r>
      <w:r>
        <w:t xml:space="preserve">Frequency resource allocation of the resource reservation of next TB transmission can be </w:t>
      </w:r>
      <w:r w:rsidR="00D504E2">
        <w:t xml:space="preserve">the </w:t>
      </w:r>
      <w:r>
        <w:t>same as that of current transmission.</w:t>
      </w:r>
    </w:p>
    <w:p w14:paraId="3E694CF1" w14:textId="77777777" w:rsidR="00175BEC" w:rsidRDefault="00175BEC" w:rsidP="00D64335">
      <w:pPr>
        <w:pStyle w:val="Heading3"/>
      </w:pPr>
      <w:r>
        <w:t>PSCCH for reservation of an initial transmission</w:t>
      </w:r>
    </w:p>
    <w:p w14:paraId="3C7596C8" w14:textId="79BEEC39" w:rsidR="00175BEC" w:rsidRDefault="00D64335" w:rsidP="00F547F5">
      <w:pPr>
        <w:jc w:val="both"/>
        <w:rPr>
          <w:lang w:val="en-GB"/>
        </w:rPr>
      </w:pPr>
      <w:r>
        <w:rPr>
          <w:lang w:val="en-GB"/>
        </w:rPr>
        <w:t xml:space="preserve">It was agreed that resources of retransmissions including blind retransmission and HARQ retransmission can be reserved by initial transmission or current transmission. It was also agreed that initial transmission without resource reservation is supported in NR V2X. Whether the resource of an initial transmission can be </w:t>
      </w:r>
      <w:r w:rsidR="00073410">
        <w:rPr>
          <w:lang w:val="en-GB"/>
        </w:rPr>
        <w:t>pre-</w:t>
      </w:r>
      <w:r>
        <w:rPr>
          <w:lang w:val="en-GB"/>
        </w:rPr>
        <w:t>reserved by a standalone PSCCH</w:t>
      </w:r>
      <w:r w:rsidR="00073410">
        <w:rPr>
          <w:lang w:val="en-GB"/>
        </w:rPr>
        <w:t xml:space="preserve"> or a PSCCH within one subchannel data transmission</w:t>
      </w:r>
      <w:r>
        <w:rPr>
          <w:lang w:val="en-GB"/>
        </w:rPr>
        <w:t xml:space="preserve"> is </w:t>
      </w:r>
      <w:r w:rsidR="00A01D85">
        <w:rPr>
          <w:lang w:val="en-GB"/>
        </w:rPr>
        <w:t xml:space="preserve">still </w:t>
      </w:r>
      <w:r>
        <w:rPr>
          <w:lang w:val="en-GB"/>
        </w:rPr>
        <w:t xml:space="preserve">an </w:t>
      </w:r>
      <w:r w:rsidR="00A01D85">
        <w:rPr>
          <w:lang w:val="en-GB"/>
        </w:rPr>
        <w:t xml:space="preserve">open </w:t>
      </w:r>
      <w:r>
        <w:rPr>
          <w:lang w:val="en-GB"/>
        </w:rPr>
        <w:t xml:space="preserve">issue. </w:t>
      </w:r>
    </w:p>
    <w:p w14:paraId="51814AC2" w14:textId="65320412" w:rsidR="00D64335" w:rsidRDefault="00D64335" w:rsidP="00F547F5">
      <w:pPr>
        <w:jc w:val="both"/>
        <w:rPr>
          <w:lang w:val="en-GB"/>
        </w:rPr>
      </w:pPr>
      <w:r>
        <w:rPr>
          <w:lang w:val="en-GB"/>
        </w:rPr>
        <w:t>From our view, there are several disadvantages to apply standalone PS</w:t>
      </w:r>
      <w:r w:rsidR="008C19D5">
        <w:rPr>
          <w:lang w:val="en-GB"/>
        </w:rPr>
        <w:t>C</w:t>
      </w:r>
      <w:r>
        <w:rPr>
          <w:lang w:val="en-GB"/>
        </w:rPr>
        <w:t>CH:</w:t>
      </w:r>
    </w:p>
    <w:p w14:paraId="17F017C5" w14:textId="4EFF6B0B" w:rsidR="00D64335" w:rsidRDefault="00D64335" w:rsidP="00371CFD">
      <w:pPr>
        <w:pStyle w:val="ListParagraph"/>
        <w:numPr>
          <w:ilvl w:val="0"/>
          <w:numId w:val="11"/>
        </w:numPr>
        <w:spacing w:after="120"/>
        <w:ind w:left="714" w:hanging="357"/>
        <w:jc w:val="both"/>
        <w:rPr>
          <w:rFonts w:ascii="Times New Roman" w:hAnsi="Times New Roman"/>
          <w:sz w:val="20"/>
          <w:lang w:val="en-GB"/>
        </w:rPr>
      </w:pPr>
      <w:r>
        <w:rPr>
          <w:rFonts w:ascii="Times New Roman" w:hAnsi="Times New Roman"/>
          <w:sz w:val="20"/>
          <w:lang w:val="en-GB"/>
        </w:rPr>
        <w:t>Degrade</w:t>
      </w:r>
      <w:r w:rsidR="008C19D5">
        <w:rPr>
          <w:rFonts w:ascii="Times New Roman" w:hAnsi="Times New Roman"/>
          <w:sz w:val="20"/>
          <w:lang w:val="en-GB"/>
        </w:rPr>
        <w:t>d</w:t>
      </w:r>
      <w:r>
        <w:rPr>
          <w:rFonts w:ascii="Times New Roman" w:hAnsi="Times New Roman"/>
          <w:sz w:val="20"/>
          <w:lang w:val="en-GB"/>
        </w:rPr>
        <w:t xml:space="preserve"> control channel performance: </w:t>
      </w:r>
      <w:r w:rsidR="00E80AA4">
        <w:rPr>
          <w:rFonts w:ascii="Times New Roman" w:hAnsi="Times New Roman"/>
          <w:sz w:val="20"/>
          <w:lang w:val="en-GB"/>
        </w:rPr>
        <w:t>standalone PSCCH increases the collision probability among PSCCHs.</w:t>
      </w:r>
      <w:r>
        <w:rPr>
          <w:rFonts w:ascii="Times New Roman" w:hAnsi="Times New Roman"/>
          <w:sz w:val="20"/>
          <w:lang w:val="en-GB"/>
        </w:rPr>
        <w:t xml:space="preserve"> </w:t>
      </w:r>
    </w:p>
    <w:p w14:paraId="51D099F2" w14:textId="2D7AC657" w:rsidR="00D64335" w:rsidRDefault="00D64335" w:rsidP="00371CFD">
      <w:pPr>
        <w:pStyle w:val="ListParagraph"/>
        <w:numPr>
          <w:ilvl w:val="0"/>
          <w:numId w:val="11"/>
        </w:numPr>
        <w:spacing w:after="120"/>
        <w:ind w:left="714" w:hanging="357"/>
        <w:jc w:val="both"/>
        <w:rPr>
          <w:rFonts w:ascii="Times New Roman" w:hAnsi="Times New Roman"/>
          <w:sz w:val="20"/>
          <w:lang w:val="en-GB"/>
        </w:rPr>
      </w:pPr>
      <w:r>
        <w:rPr>
          <w:rFonts w:ascii="Times New Roman" w:hAnsi="Times New Roman"/>
          <w:sz w:val="20"/>
          <w:lang w:val="en-GB"/>
        </w:rPr>
        <w:t>Worse sensing performance</w:t>
      </w:r>
      <w:r w:rsidRPr="00D64335">
        <w:rPr>
          <w:rFonts w:ascii="Times New Roman" w:hAnsi="Times New Roman"/>
          <w:sz w:val="20"/>
          <w:lang w:val="en-GB"/>
        </w:rPr>
        <w:t xml:space="preserve">: </w:t>
      </w:r>
      <w:r>
        <w:rPr>
          <w:rFonts w:ascii="Times New Roman" w:hAnsi="Times New Roman"/>
          <w:sz w:val="20"/>
          <w:lang w:val="en-GB"/>
        </w:rPr>
        <w:t>in sensing procedure, L1-RSRP is needed for excluding occupied resource.</w:t>
      </w:r>
      <w:r w:rsidR="002146EC">
        <w:rPr>
          <w:rFonts w:ascii="Times New Roman" w:hAnsi="Times New Roman"/>
          <w:sz w:val="20"/>
          <w:lang w:val="en-GB"/>
        </w:rPr>
        <w:t xml:space="preserve"> T</w:t>
      </w:r>
      <w:r>
        <w:rPr>
          <w:rFonts w:ascii="Times New Roman" w:hAnsi="Times New Roman"/>
          <w:sz w:val="20"/>
          <w:lang w:val="en-GB"/>
        </w:rPr>
        <w:t xml:space="preserve">he </w:t>
      </w:r>
      <w:r w:rsidR="002146EC">
        <w:rPr>
          <w:rFonts w:ascii="Times New Roman" w:hAnsi="Times New Roman"/>
          <w:sz w:val="20"/>
          <w:lang w:val="en-GB"/>
        </w:rPr>
        <w:t xml:space="preserve">estimation </w:t>
      </w:r>
      <w:r w:rsidRPr="00D64335">
        <w:rPr>
          <w:rFonts w:ascii="Times New Roman" w:hAnsi="Times New Roman"/>
          <w:sz w:val="20"/>
          <w:lang w:val="en-GB"/>
        </w:rPr>
        <w:t xml:space="preserve">accuracy </w:t>
      </w:r>
      <w:r w:rsidR="002146EC">
        <w:rPr>
          <w:rFonts w:ascii="Times New Roman" w:hAnsi="Times New Roman"/>
          <w:sz w:val="20"/>
          <w:lang w:val="en-GB"/>
        </w:rPr>
        <w:t xml:space="preserve">of L1-RSRP by PSCCH DMRS is worse than </w:t>
      </w:r>
      <w:r>
        <w:rPr>
          <w:rFonts w:ascii="Times New Roman" w:hAnsi="Times New Roman"/>
          <w:sz w:val="20"/>
          <w:lang w:val="en-GB"/>
        </w:rPr>
        <w:t xml:space="preserve">that by </w:t>
      </w:r>
      <w:r w:rsidR="002146EC">
        <w:rPr>
          <w:rFonts w:ascii="Times New Roman" w:hAnsi="Times New Roman"/>
          <w:sz w:val="20"/>
          <w:lang w:val="en-GB"/>
        </w:rPr>
        <w:t>PSSCH DMRS.</w:t>
      </w:r>
    </w:p>
    <w:p w14:paraId="0172C54B" w14:textId="058FB580" w:rsidR="00073410" w:rsidRDefault="00073410" w:rsidP="00371CFD">
      <w:pPr>
        <w:pStyle w:val="ListParagraph"/>
        <w:numPr>
          <w:ilvl w:val="0"/>
          <w:numId w:val="11"/>
        </w:numPr>
        <w:spacing w:after="120"/>
        <w:ind w:left="714" w:hanging="357"/>
        <w:jc w:val="both"/>
        <w:rPr>
          <w:rFonts w:ascii="Times New Roman" w:hAnsi="Times New Roman"/>
          <w:sz w:val="20"/>
          <w:lang w:val="en-GB"/>
        </w:rPr>
      </w:pPr>
      <w:r>
        <w:rPr>
          <w:rFonts w:ascii="Times New Roman" w:hAnsi="Times New Roman"/>
          <w:sz w:val="20"/>
          <w:lang w:val="en-GB"/>
        </w:rPr>
        <w:t xml:space="preserve">AGC issue: for standalone PSCCH, there is no associated PSSCH. </w:t>
      </w:r>
      <w:r w:rsidR="00B640C8">
        <w:rPr>
          <w:rFonts w:ascii="Times New Roman" w:hAnsi="Times New Roman"/>
          <w:sz w:val="20"/>
          <w:lang w:val="en-GB"/>
        </w:rPr>
        <w:t xml:space="preserve">The extra AGC tuning time </w:t>
      </w:r>
      <w:r>
        <w:rPr>
          <w:rFonts w:ascii="Times New Roman" w:hAnsi="Times New Roman"/>
          <w:sz w:val="20"/>
          <w:lang w:val="en-GB"/>
        </w:rPr>
        <w:t xml:space="preserve">would degrade the performance of PSSCH demodulation. </w:t>
      </w:r>
    </w:p>
    <w:p w14:paraId="17732EA3" w14:textId="3E4A96DD" w:rsidR="00D64335" w:rsidRPr="00D64335" w:rsidRDefault="00D64335" w:rsidP="00371CFD">
      <w:pPr>
        <w:pStyle w:val="ListParagraph"/>
        <w:numPr>
          <w:ilvl w:val="0"/>
          <w:numId w:val="11"/>
        </w:numPr>
        <w:spacing w:after="120"/>
        <w:ind w:left="714" w:hanging="357"/>
        <w:jc w:val="both"/>
        <w:rPr>
          <w:rFonts w:ascii="Times New Roman" w:hAnsi="Times New Roman"/>
          <w:sz w:val="20"/>
          <w:lang w:val="en-GB"/>
        </w:rPr>
      </w:pPr>
      <w:r w:rsidRPr="00D64335">
        <w:rPr>
          <w:rFonts w:ascii="Times New Roman" w:hAnsi="Times New Roman"/>
          <w:sz w:val="20"/>
          <w:lang w:val="en-GB"/>
        </w:rPr>
        <w:t>Additional latency</w:t>
      </w:r>
      <w:r>
        <w:rPr>
          <w:rFonts w:ascii="Times New Roman" w:hAnsi="Times New Roman"/>
          <w:sz w:val="20"/>
          <w:lang w:val="en-GB"/>
        </w:rPr>
        <w:t xml:space="preserve">: the </w:t>
      </w:r>
      <w:r w:rsidR="00876CF0">
        <w:rPr>
          <w:rFonts w:ascii="Times New Roman" w:hAnsi="Times New Roman"/>
          <w:sz w:val="20"/>
          <w:lang w:val="en-GB"/>
        </w:rPr>
        <w:t xml:space="preserve">actual </w:t>
      </w:r>
      <w:r>
        <w:rPr>
          <w:rFonts w:ascii="Times New Roman" w:hAnsi="Times New Roman"/>
          <w:sz w:val="20"/>
          <w:lang w:val="en-GB"/>
        </w:rPr>
        <w:t xml:space="preserve">data transmission </w:t>
      </w:r>
      <w:r w:rsidR="00876CF0">
        <w:rPr>
          <w:rFonts w:ascii="Times New Roman" w:hAnsi="Times New Roman"/>
          <w:sz w:val="20"/>
          <w:lang w:val="en-GB"/>
        </w:rPr>
        <w:t xml:space="preserve">occurs </w:t>
      </w:r>
      <w:r>
        <w:rPr>
          <w:rFonts w:ascii="Times New Roman" w:hAnsi="Times New Roman"/>
          <w:sz w:val="20"/>
          <w:lang w:val="en-GB"/>
        </w:rPr>
        <w:t xml:space="preserve">after certain reservation time gap. </w:t>
      </w:r>
    </w:p>
    <w:p w14:paraId="13304775" w14:textId="68013691" w:rsidR="00D64335" w:rsidRDefault="00D64335" w:rsidP="00F547F5">
      <w:pPr>
        <w:jc w:val="both"/>
        <w:rPr>
          <w:lang w:val="en-GB"/>
        </w:rPr>
      </w:pPr>
      <w:r>
        <w:rPr>
          <w:lang w:val="en-GB"/>
        </w:rPr>
        <w:t>One possible advantage of standalone PSCCH is to improve performance by reducing PSSCH collisions. However, blind retransmission or HARQ retransmission can</w:t>
      </w:r>
      <w:r w:rsidR="00E62D13">
        <w:rPr>
          <w:lang w:val="en-GB"/>
        </w:rPr>
        <w:t xml:space="preserve"> also</w:t>
      </w:r>
      <w:r>
        <w:rPr>
          <w:lang w:val="en-GB"/>
        </w:rPr>
        <w:t xml:space="preserve"> improve the performance when there is resource collision.</w:t>
      </w:r>
    </w:p>
    <w:p w14:paraId="46D501EE" w14:textId="4E2B4E8E" w:rsidR="00D64335" w:rsidRDefault="00D64335" w:rsidP="00F547F5">
      <w:pPr>
        <w:jc w:val="both"/>
        <w:rPr>
          <w:lang w:val="en-GB"/>
        </w:rPr>
      </w:pPr>
      <w:r>
        <w:rPr>
          <w:lang w:val="en-GB"/>
        </w:rPr>
        <w:t>Based on the above analysis, the merit of standalone PSCCH is limited.</w:t>
      </w:r>
    </w:p>
    <w:p w14:paraId="6FB63DEC" w14:textId="733AD87D" w:rsidR="000B06E8" w:rsidRDefault="000B06E8"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6</w:t>
      </w:r>
      <w:r w:rsidRPr="000F17D2">
        <w:rPr>
          <w:b/>
          <w:u w:val="single"/>
        </w:rPr>
        <w:fldChar w:fldCharType="end"/>
      </w:r>
      <w:r w:rsidRPr="00B0488D">
        <w:t xml:space="preserve">: </w:t>
      </w:r>
      <w:r w:rsidR="00D64335">
        <w:t>Standalone PSCCH is not supported.</w:t>
      </w:r>
    </w:p>
    <w:p w14:paraId="7FB50883" w14:textId="01780C9B" w:rsidR="00073410" w:rsidRDefault="00E64126" w:rsidP="00F547F5">
      <w:pPr>
        <w:jc w:val="both"/>
      </w:pPr>
      <w:r>
        <w:t xml:space="preserve">One alternative to solve the AGC issue </w:t>
      </w:r>
      <w:r w:rsidR="00DC2652">
        <w:t xml:space="preserve">in standalone PSCCH </w:t>
      </w:r>
      <w:r>
        <w:t>is to transmit a PSSCH associated with PSCCH with one su</w:t>
      </w:r>
      <w:r w:rsidR="00DC2652">
        <w:t>b channel resource</w:t>
      </w:r>
      <w:r>
        <w:t xml:space="preserve">. </w:t>
      </w:r>
      <w:r w:rsidR="00DC2652">
        <w:t>In order</w:t>
      </w:r>
      <w:r>
        <w:t xml:space="preserve"> to evaluate the</w:t>
      </w:r>
      <w:r w:rsidR="00DC2652">
        <w:t xml:space="preserve"> performance of pre-reservation, we conduct system level simulations</w:t>
      </w:r>
      <w:r w:rsidR="00C917A8">
        <w:t xml:space="preserve"> with the </w:t>
      </w:r>
      <w:r w:rsidR="00C917A8">
        <w:lastRenderedPageBreak/>
        <w:t>following setup:</w:t>
      </w:r>
      <w:r>
        <w:t xml:space="preserve"> </w:t>
      </w:r>
      <w:r w:rsidR="00C917A8">
        <w:t>A</w:t>
      </w:r>
      <w:r w:rsidR="00DC2652">
        <w:t xml:space="preserve">periodic traffic model 1, vehicle dropping option A, 20 MHz </w:t>
      </w:r>
      <w:r w:rsidR="00C917A8">
        <w:t>bandwidth</w:t>
      </w:r>
      <w:r w:rsidR="00DC2652">
        <w:t>, SCS 30 kHz, highway scenario, broadcasting, and 10 RBs per subchannel. Maximum transmissions number of one TB is set as 1, 2, 3, and 4.</w:t>
      </w:r>
    </w:p>
    <w:p w14:paraId="56F4ABF1" w14:textId="31DCA9BB" w:rsidR="00DC2652" w:rsidRDefault="00DC2652" w:rsidP="00F547F5">
      <w:pPr>
        <w:jc w:val="both"/>
      </w:pPr>
      <w:r>
        <w:t>In Fig. 1, PRR performance comparison between initial transmission with or without pre-reservation is shown. Under maximum 1/2/3 transmissions of one TB, pre-reservation only introduce</w:t>
      </w:r>
      <w:r w:rsidR="006237AD">
        <w:t>s</w:t>
      </w:r>
      <w:r>
        <w:t xml:space="preserve"> performance loss. Therefore, pre-reservation of initial transmission is not supported. </w:t>
      </w:r>
    </w:p>
    <w:p w14:paraId="2FEDE474" w14:textId="227DF9DC" w:rsidR="00DC2652" w:rsidRDefault="00DC2652"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7</w:t>
      </w:r>
      <w:r w:rsidRPr="000F17D2">
        <w:rPr>
          <w:b/>
          <w:u w:val="single"/>
        </w:rPr>
        <w:fldChar w:fldCharType="end"/>
      </w:r>
      <w:r w:rsidRPr="00B0488D">
        <w:t xml:space="preserve">: </w:t>
      </w:r>
      <w:r>
        <w:t>Resource pre-reservation of initial transmission is not supported.</w:t>
      </w:r>
    </w:p>
    <w:p w14:paraId="5F14988D" w14:textId="4A488B44" w:rsidR="00073410" w:rsidRDefault="00073410" w:rsidP="00073410">
      <w:pPr>
        <w:jc w:val="center"/>
        <w:rPr>
          <w:lang w:val="en-GB"/>
        </w:rPr>
      </w:pPr>
      <w:r w:rsidRPr="00073410">
        <w:rPr>
          <w:noProof/>
          <w:lang w:eastAsia="zh-TW"/>
        </w:rPr>
        <w:drawing>
          <wp:inline distT="0" distB="0" distL="0" distR="0" wp14:anchorId="5C137E74" wp14:editId="6F7C18F5">
            <wp:extent cx="3664726" cy="2488721"/>
            <wp:effectExtent l="0" t="0" r="0" b="6985"/>
            <wp:docPr id="1026" name="Picture 6" descr="image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6" descr="image00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09868" cy="2519377"/>
                    </a:xfrm>
                    <a:prstGeom prst="rect">
                      <a:avLst/>
                    </a:prstGeom>
                    <a:noFill/>
                    <a:ln>
                      <a:noFill/>
                    </a:ln>
                    <a:extLst/>
                  </pic:spPr>
                </pic:pic>
              </a:graphicData>
            </a:graphic>
          </wp:inline>
        </w:drawing>
      </w:r>
    </w:p>
    <w:p w14:paraId="7D36EAD3" w14:textId="6466CDDE" w:rsidR="00073410" w:rsidRPr="00175BEC" w:rsidRDefault="00073410" w:rsidP="00073410">
      <w:pPr>
        <w:jc w:val="center"/>
        <w:rPr>
          <w:lang w:val="en-GB"/>
        </w:rPr>
      </w:pPr>
      <w:r w:rsidRPr="0068734D">
        <w:rPr>
          <w:b/>
        </w:rPr>
        <w:t xml:space="preserve">Figure </w:t>
      </w:r>
      <w:r>
        <w:rPr>
          <w:b/>
        </w:rPr>
        <w:t>1</w:t>
      </w:r>
      <w:r>
        <w:t>. PRR</w:t>
      </w:r>
      <w:r w:rsidR="00DC2652">
        <w:t xml:space="preserve"> performance comparison between initial transmission with or without pre-reservation.</w:t>
      </w:r>
    </w:p>
    <w:p w14:paraId="730E7752" w14:textId="77777777" w:rsidR="00F547F5" w:rsidRDefault="00F547F5" w:rsidP="00D64335">
      <w:pPr>
        <w:pStyle w:val="Heading2"/>
      </w:pPr>
      <w:r>
        <w:t xml:space="preserve">Sensing and </w:t>
      </w:r>
      <w:r w:rsidRPr="00681018">
        <w:t>selection</w:t>
      </w:r>
      <w:r>
        <w:t xml:space="preserve"> windows</w:t>
      </w:r>
    </w:p>
    <w:p w14:paraId="0D48C029" w14:textId="14D6F1E4" w:rsidR="00175BEC" w:rsidRDefault="00175BEC" w:rsidP="00D64335">
      <w:pPr>
        <w:pStyle w:val="Heading8"/>
      </w:pPr>
      <w:r>
        <w:t xml:space="preserve">Sensing </w:t>
      </w:r>
      <w:r w:rsidRPr="00D64335">
        <w:t>window</w:t>
      </w:r>
      <w:r>
        <w:t xml:space="preserve"> definition</w:t>
      </w:r>
    </w:p>
    <w:p w14:paraId="22B9B0FA" w14:textId="6A87FEC8" w:rsidR="00175BEC" w:rsidRDefault="00FD4CAA" w:rsidP="00F547F5">
      <w:pPr>
        <w:jc w:val="both"/>
      </w:pPr>
      <w:r>
        <w:t>The sensing window defined in LTE V2X can be the baseline in NR V2X. Sensing window is defined as a time interval where UE is expected to monitor the medium before resource selection is triggered. In LTE V2X, the duration of sensing window is defined as 1 sec. The width of sensing</w:t>
      </w:r>
      <w:r w:rsidR="004774AA">
        <w:t xml:space="preserve"> window</w:t>
      </w:r>
      <w:bookmarkStart w:id="3" w:name="_GoBack"/>
      <w:bookmarkEnd w:id="3"/>
      <w:r>
        <w:t xml:space="preserve"> can be also defined as 1 sec</w:t>
      </w:r>
      <w:r w:rsidR="00E62D13">
        <w:t xml:space="preserve"> in NR V2X</w:t>
      </w:r>
      <w:r>
        <w:t xml:space="preserve">. </w:t>
      </w:r>
    </w:p>
    <w:p w14:paraId="01B992A9" w14:textId="2427A168" w:rsidR="00F547F5" w:rsidRDefault="00F547F5"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8</w:t>
      </w:r>
      <w:r w:rsidRPr="000F17D2">
        <w:rPr>
          <w:b/>
          <w:u w:val="single"/>
        </w:rPr>
        <w:fldChar w:fldCharType="end"/>
      </w:r>
      <w:r w:rsidRPr="00B0488D">
        <w:t>:</w:t>
      </w:r>
      <w:r w:rsidR="00FD4CAA">
        <w:t xml:space="preserve"> S</w:t>
      </w:r>
      <w:r>
        <w:t>ensing window</w:t>
      </w:r>
      <w:r w:rsidR="00FD4CAA">
        <w:t xml:space="preserve"> as in LTE V2X is </w:t>
      </w:r>
      <w:r>
        <w:t xml:space="preserve">supported in NR V2X and the width of sensing window </w:t>
      </w:r>
      <w:r w:rsidR="00FD4CAA">
        <w:t>is 1 sec</w:t>
      </w:r>
      <w:r>
        <w:t>.</w:t>
      </w:r>
    </w:p>
    <w:p w14:paraId="150A63F7" w14:textId="4AA9ADAE" w:rsidR="00175BEC" w:rsidRDefault="00175BEC" w:rsidP="00D64335">
      <w:pPr>
        <w:pStyle w:val="Heading8"/>
      </w:pPr>
      <w:r w:rsidRPr="00D64335">
        <w:t>Selection</w:t>
      </w:r>
      <w:r>
        <w:t xml:space="preserve"> window definition</w:t>
      </w:r>
    </w:p>
    <w:p w14:paraId="3D7881D0" w14:textId="77777777" w:rsidR="006E25F2" w:rsidRDefault="006E25F2" w:rsidP="002C75EB">
      <w:pPr>
        <w:jc w:val="both"/>
      </w:pPr>
      <w:r w:rsidRPr="003F5EE4">
        <w:t xml:space="preserve">Resource selection window </w:t>
      </w:r>
      <w:r>
        <w:t xml:space="preserve">was agreed </w:t>
      </w:r>
      <w:r w:rsidRPr="003F5EE4">
        <w:t>as a time interval where a UE selects sidelink resources for transmission</w:t>
      </w:r>
      <w:r>
        <w:t xml:space="preserve">. </w:t>
      </w:r>
      <w:r w:rsidRPr="006E25F2">
        <w:t xml:space="preserve"> </w:t>
      </w:r>
      <w:r w:rsidRPr="00DF1D89">
        <w:t>The resource selection window starts T1 ≥ 0 after a resource (re-)selection trigger and is bounded by at least a remaining packet delay budget</w:t>
      </w:r>
      <w:r>
        <w:t>. One remaining issue is that T1 value, whether it is measured in slots, symbols, ms.</w:t>
      </w:r>
    </w:p>
    <w:p w14:paraId="473C1F55" w14:textId="08F04456" w:rsidR="00F547F5" w:rsidRPr="002C75EB" w:rsidRDefault="006E25F2" w:rsidP="00F547F5">
      <w:pPr>
        <w:jc w:val="both"/>
        <w:rPr>
          <w:lang w:val="en-GB"/>
        </w:rPr>
      </w:pPr>
      <w:r>
        <w:t xml:space="preserve">T1 value is related to UE processing time and can be (pre-)configured. Since granularity of sensing and resource selection in time domain can be one slot, T1 value is measured in slot level. </w:t>
      </w:r>
    </w:p>
    <w:p w14:paraId="688AD3B9" w14:textId="140EC857" w:rsidR="00F547F5" w:rsidRDefault="00F547F5"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9</w:t>
      </w:r>
      <w:r w:rsidRPr="000F17D2">
        <w:rPr>
          <w:b/>
          <w:u w:val="single"/>
        </w:rPr>
        <w:fldChar w:fldCharType="end"/>
      </w:r>
      <w:r w:rsidRPr="00B0488D">
        <w:t xml:space="preserve">: </w:t>
      </w:r>
      <w:r w:rsidR="006E25F2">
        <w:t>In r</w:t>
      </w:r>
      <w:r>
        <w:t>esource selection window</w:t>
      </w:r>
      <w:r w:rsidR="006E25F2">
        <w:t>, T1 value is measured in slot level.</w:t>
      </w:r>
      <w:r w:rsidR="00FD4CAA">
        <w:t xml:space="preserve"> </w:t>
      </w:r>
    </w:p>
    <w:p w14:paraId="5184242A" w14:textId="77777777" w:rsidR="00F547F5" w:rsidRDefault="00F547F5" w:rsidP="00D64335">
      <w:pPr>
        <w:pStyle w:val="Heading2"/>
      </w:pPr>
      <w:r>
        <w:lastRenderedPageBreak/>
        <w:t>Sensing procedure</w:t>
      </w:r>
    </w:p>
    <w:p w14:paraId="556C4409" w14:textId="7D9869E6" w:rsidR="00F547F5" w:rsidRDefault="00F547F5" w:rsidP="00F547F5">
      <w:pPr>
        <w:jc w:val="both"/>
      </w:pPr>
      <w:r>
        <w:t xml:space="preserve">In LTE V2X, sensing procedure includes decoding sidelink control channel information, sidelink measurements and detection of sidelink transmissions to identify the occupied resources. </w:t>
      </w:r>
      <w:r w:rsidR="00E62D13">
        <w:t>S</w:t>
      </w:r>
      <w:r>
        <w:t>imilar concepts can be applied with modifications</w:t>
      </w:r>
      <w:r w:rsidR="00E62D13">
        <w:t xml:space="preserve"> in NR V2X</w:t>
      </w:r>
      <w:r>
        <w:t xml:space="preserve">. </w:t>
      </w:r>
    </w:p>
    <w:p w14:paraId="1A2F6DEA" w14:textId="289864E7" w:rsidR="00371CFD" w:rsidRDefault="00371CFD" w:rsidP="00371CFD">
      <w:pPr>
        <w:pStyle w:val="Heading3"/>
      </w:pPr>
      <w:r>
        <w:t>Information extracted from SCI for sensing procedure</w:t>
      </w:r>
    </w:p>
    <w:p w14:paraId="357AF2E0" w14:textId="199C757F" w:rsidR="00F547F5" w:rsidRDefault="00F547F5" w:rsidP="00F547F5">
      <w:pPr>
        <w:jc w:val="both"/>
      </w:pPr>
      <w:r>
        <w:t>Information extracted from SCI decoding should include current time/frequency resource allocation</w:t>
      </w:r>
      <w:r w:rsidR="00371CFD">
        <w:t>,</w:t>
      </w:r>
      <w:r>
        <w:t xml:space="preserve"> </w:t>
      </w:r>
      <w:r w:rsidR="00D86087">
        <w:t xml:space="preserve">reservation period, </w:t>
      </w:r>
      <w:r>
        <w:t>retransmission time gap, retransmission frequency resource allocation, and priority of the packet. If all SCIs can be decoded by UE in each slot, UE would have whole resource</w:t>
      </w:r>
      <w:r w:rsidR="00371CFD">
        <w:t>s</w:t>
      </w:r>
      <w:r>
        <w:t xml:space="preserve"> allocation information of current slot and resource reservation information of future slots. However, it depends on UE capability. In LTE V2X, </w:t>
      </w:r>
      <w:r w:rsidR="00371CFD">
        <w:t>10 or</w:t>
      </w:r>
      <w:r>
        <w:t xml:space="preserve"> 20 blind decodings are defined. If UE cannot decode all SCIs in one slot, sidelink measurement and detection of sidelink transmissions should be considered to provide assistance information for sensing. </w:t>
      </w:r>
      <w:r w:rsidR="00371CFD">
        <w:t>Furthermore, t</w:t>
      </w:r>
      <w:r>
        <w:t>he complexity of sidelink measurement or detection is much lower than that of SCI decoding.</w:t>
      </w:r>
    </w:p>
    <w:p w14:paraId="48C43A8A" w14:textId="5CF0B6AA" w:rsidR="00F547F5" w:rsidRDefault="00F547F5"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10</w:t>
      </w:r>
      <w:r w:rsidRPr="000F17D2">
        <w:rPr>
          <w:b/>
          <w:u w:val="single"/>
        </w:rPr>
        <w:fldChar w:fldCharType="end"/>
      </w:r>
      <w:r w:rsidRPr="00B0488D">
        <w:t xml:space="preserve">: </w:t>
      </w:r>
      <w:r>
        <w:t xml:space="preserve">SCI extracted information includes current frequency resource allocation information, </w:t>
      </w:r>
      <w:r w:rsidR="00D86087">
        <w:t xml:space="preserve">reservation period, </w:t>
      </w:r>
      <w:r>
        <w:t>retransmission time gap, retransmission frequency resource allocation, and priority information.</w:t>
      </w:r>
    </w:p>
    <w:p w14:paraId="2B069EB2" w14:textId="77777777" w:rsidR="00F547F5" w:rsidRDefault="00F547F5" w:rsidP="00F547F5">
      <w:pPr>
        <w:jc w:val="both"/>
      </w:pPr>
      <w:r>
        <w:t xml:space="preserve">For sidelink measurements, sidelink RSRP and RSSI defined in LTE V2X can be reused as the baseline. </w:t>
      </w:r>
    </w:p>
    <w:p w14:paraId="3802CEFB" w14:textId="77777777" w:rsidR="00F547F5" w:rsidRDefault="00F547F5" w:rsidP="00F547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11</w:t>
      </w:r>
      <w:r w:rsidRPr="000F17D2">
        <w:rPr>
          <w:b/>
          <w:u w:val="single"/>
        </w:rPr>
        <w:fldChar w:fldCharType="end"/>
      </w:r>
      <w:r w:rsidRPr="00B0488D">
        <w:t xml:space="preserve">: </w:t>
      </w:r>
      <w:r>
        <w:t>Sidelink RSRP and RSSI can be used for NR V2X in measurement procedure. Further improvements can be studied.</w:t>
      </w:r>
    </w:p>
    <w:p w14:paraId="5CE5878A" w14:textId="6DF7DA9C" w:rsidR="00371CFD" w:rsidRDefault="00371CFD" w:rsidP="00371CFD">
      <w:pPr>
        <w:pStyle w:val="Heading3"/>
      </w:pPr>
      <w:r>
        <w:t>Priority information for sensing procedure</w:t>
      </w:r>
    </w:p>
    <w:p w14:paraId="31F531A3" w14:textId="60B901F3" w:rsidR="00F55214" w:rsidRPr="00371CFD" w:rsidRDefault="00371CFD" w:rsidP="00371CFD">
      <w:pPr>
        <w:tabs>
          <w:tab w:val="num" w:pos="720"/>
        </w:tabs>
        <w:jc w:val="both"/>
      </w:pPr>
      <w:r>
        <w:t>In sensing procedure, a UE decodes possible SCI</w:t>
      </w:r>
      <w:r w:rsidR="007A3639">
        <w:t>s</w:t>
      </w:r>
      <w:r>
        <w:t xml:space="preserve"> to extract information and measures SL-RSRP to compare with a (pre-)configured RSRP threshold to identify the occupied resource. If </w:t>
      </w:r>
      <w:r w:rsidRPr="00371CFD">
        <w:t>the measured RSRP</w:t>
      </w:r>
      <w:r>
        <w:t xml:space="preserve"> is less than a (pre-)configured threshold</w:t>
      </w:r>
      <w:r w:rsidRPr="00371CFD">
        <w:t xml:space="preserve">, a UE can </w:t>
      </w:r>
      <w:r w:rsidR="007A3639">
        <w:t>assume</w:t>
      </w:r>
      <w:r w:rsidR="007A3639" w:rsidRPr="00371CFD">
        <w:t xml:space="preserve"> </w:t>
      </w:r>
      <w:r>
        <w:t xml:space="preserve">the </w:t>
      </w:r>
      <w:r w:rsidRPr="00371CFD">
        <w:t>interference is tolerable and thus the same resource can be reused.</w:t>
      </w:r>
      <w:r>
        <w:t xml:space="preserve"> </w:t>
      </w:r>
    </w:p>
    <w:p w14:paraId="15BC7819" w14:textId="348CC412" w:rsidR="00F55214" w:rsidRPr="00371CFD" w:rsidRDefault="00371CFD" w:rsidP="00371CFD">
      <w:pPr>
        <w:tabs>
          <w:tab w:val="num" w:pos="720"/>
        </w:tabs>
        <w:jc w:val="both"/>
      </w:pPr>
      <w:r w:rsidRPr="00371CFD">
        <w:t xml:space="preserve">In LTE V2X, the RSRP threshold </w:t>
      </w:r>
      <m:oMath>
        <m:sSub>
          <m:sSubPr>
            <m:ctrlPr>
              <w:rPr>
                <w:rFonts w:ascii="Cambria Math" w:hAnsi="Cambria Math"/>
              </w:rPr>
            </m:ctrlPr>
          </m:sSubPr>
          <m:e>
            <m:r>
              <w:rPr>
                <w:rFonts w:ascii="Cambria Math" w:hAnsi="Cambria Math"/>
              </w:rPr>
              <m:t>Th</m:t>
            </m:r>
          </m:e>
          <m:sub>
            <m:sSub>
              <m:sSubPr>
                <m:ctrlPr>
                  <w:rPr>
                    <w:rFonts w:ascii="Cambria Math" w:hAnsi="Cambria Math"/>
                  </w:rPr>
                </m:ctrlPr>
              </m:sSubPr>
              <m:e>
                <m:r>
                  <w:rPr>
                    <w:rFonts w:ascii="Cambria Math" w:hAnsi="Cambria Math"/>
                  </w:rPr>
                  <m:t>prio</m:t>
                </m:r>
              </m:e>
              <m:sub>
                <m:r>
                  <w:rPr>
                    <w:rFonts w:ascii="Cambria Math" w:hAnsi="Cambria Math"/>
                  </w:rPr>
                  <m:t>TX</m:t>
                </m:r>
              </m:sub>
            </m:sSub>
            <m:r>
              <m:rPr>
                <m:sty m:val="p"/>
              </m:rPr>
              <w:rPr>
                <w:rFonts w:ascii="Cambria Math" w:hAnsi="Cambria Math"/>
              </w:rPr>
              <m:t>,</m:t>
            </m:r>
            <m:sSub>
              <m:sSubPr>
                <m:ctrlPr>
                  <w:rPr>
                    <w:rFonts w:ascii="Cambria Math" w:hAnsi="Cambria Math"/>
                  </w:rPr>
                </m:ctrlPr>
              </m:sSubPr>
              <m:e>
                <m:r>
                  <w:rPr>
                    <w:rFonts w:ascii="Cambria Math" w:hAnsi="Cambria Math"/>
                  </w:rPr>
                  <m:t>prio</m:t>
                </m:r>
              </m:e>
              <m:sub>
                <m:r>
                  <w:rPr>
                    <w:rFonts w:ascii="Cambria Math" w:hAnsi="Cambria Math"/>
                  </w:rPr>
                  <m:t>RX</m:t>
                </m:r>
              </m:sub>
            </m:sSub>
          </m:sub>
        </m:sSub>
      </m:oMath>
      <w:r w:rsidRPr="00371CFD">
        <w:t xml:space="preserve"> depends only on the priority at TX UE and the priority at RX UE.</w:t>
      </w:r>
      <w:r>
        <w:t xml:space="preserve"> The priority is </w:t>
      </w:r>
      <w:r w:rsidR="007A3639">
        <w:t xml:space="preserve">of </w:t>
      </w:r>
      <w:r>
        <w:t>3</w:t>
      </w:r>
      <w:r w:rsidR="007A3639">
        <w:t xml:space="preserve"> </w:t>
      </w:r>
      <w:r>
        <w:t>bit</w:t>
      </w:r>
      <w:r w:rsidR="007A3639">
        <w:t>s</w:t>
      </w:r>
      <w:r>
        <w:t xml:space="preserve"> and </w:t>
      </w:r>
      <w:r w:rsidR="007A3639">
        <w:t>come</w:t>
      </w:r>
      <w:r w:rsidR="006800D5">
        <w:t>s</w:t>
      </w:r>
      <w:r w:rsidR="007A3639">
        <w:t xml:space="preserve"> </w:t>
      </w:r>
      <w:r>
        <w:t xml:space="preserve">from higher layer QoS priority. </w:t>
      </w:r>
      <w:r w:rsidRPr="00371CFD">
        <w:t xml:space="preserve">Small RSRP threshold means that when the TX UE’s PSSCH overlaps with RX UE’s PSSCH, the interference is expected to be small and tolerable for both sides. </w:t>
      </w:r>
    </w:p>
    <w:p w14:paraId="43415856" w14:textId="77777777" w:rsidR="00F55214" w:rsidRPr="00371CFD" w:rsidRDefault="00371CFD" w:rsidP="00371CFD">
      <w:pPr>
        <w:tabs>
          <w:tab w:val="num" w:pos="720"/>
        </w:tabs>
        <w:jc w:val="both"/>
      </w:pPr>
      <w:r w:rsidRPr="00371CFD">
        <w:t>NR V2X will support miscellaneous services/applications, so other QoS parameters besides priority may be also related to RSRP threshold:</w:t>
      </w:r>
    </w:p>
    <w:p w14:paraId="3CE6AA84" w14:textId="55047FD6" w:rsidR="00F55214" w:rsidRPr="00371CFD" w:rsidRDefault="00371CFD" w:rsidP="00371CFD">
      <w:pPr>
        <w:pStyle w:val="ListParagraph"/>
        <w:numPr>
          <w:ilvl w:val="0"/>
          <w:numId w:val="7"/>
        </w:numPr>
        <w:tabs>
          <w:tab w:val="num" w:pos="720"/>
        </w:tabs>
        <w:jc w:val="both"/>
        <w:rPr>
          <w:rFonts w:ascii="Times New Roman" w:hAnsi="Times New Roman"/>
          <w:sz w:val="20"/>
          <w:szCs w:val="20"/>
        </w:rPr>
      </w:pPr>
      <w:r w:rsidRPr="00371CFD">
        <w:rPr>
          <w:rFonts w:ascii="Times New Roman" w:hAnsi="Times New Roman"/>
          <w:sz w:val="20"/>
          <w:szCs w:val="20"/>
        </w:rPr>
        <w:t>Reliability: It is better to have a low threshold so that two overlapped PSSCHs incur less interference on each other.</w:t>
      </w:r>
    </w:p>
    <w:p w14:paraId="78286A88" w14:textId="5EF27C35" w:rsidR="00F55214" w:rsidRPr="00371CFD" w:rsidRDefault="00371CFD" w:rsidP="00371CFD">
      <w:pPr>
        <w:pStyle w:val="ListParagraph"/>
        <w:numPr>
          <w:ilvl w:val="0"/>
          <w:numId w:val="7"/>
        </w:numPr>
        <w:tabs>
          <w:tab w:val="num" w:pos="720"/>
        </w:tabs>
        <w:jc w:val="both"/>
        <w:rPr>
          <w:rFonts w:ascii="Times New Roman" w:hAnsi="Times New Roman"/>
          <w:sz w:val="20"/>
          <w:szCs w:val="20"/>
        </w:rPr>
      </w:pPr>
      <w:r w:rsidRPr="00371CFD">
        <w:rPr>
          <w:rFonts w:ascii="Times New Roman" w:hAnsi="Times New Roman"/>
          <w:sz w:val="20"/>
          <w:szCs w:val="20"/>
        </w:rPr>
        <w:t>Latency: Assuming a properly selected window size, RSRP threshold has little impact on latency.</w:t>
      </w:r>
    </w:p>
    <w:p w14:paraId="418BE8C7" w14:textId="2E19DDE6" w:rsidR="00F55214" w:rsidRPr="00371CFD" w:rsidRDefault="00371CFD" w:rsidP="00371CFD">
      <w:pPr>
        <w:pStyle w:val="ListParagraph"/>
        <w:numPr>
          <w:ilvl w:val="0"/>
          <w:numId w:val="7"/>
        </w:numPr>
        <w:tabs>
          <w:tab w:val="num" w:pos="720"/>
        </w:tabs>
        <w:jc w:val="both"/>
        <w:rPr>
          <w:rFonts w:ascii="Times New Roman" w:hAnsi="Times New Roman"/>
          <w:sz w:val="20"/>
          <w:szCs w:val="20"/>
        </w:rPr>
      </w:pPr>
      <w:r w:rsidRPr="00371CFD">
        <w:rPr>
          <w:rFonts w:ascii="Times New Roman" w:hAnsi="Times New Roman"/>
          <w:sz w:val="20"/>
          <w:szCs w:val="20"/>
        </w:rPr>
        <w:t>Throughput: No direct impact by adjusting RSRP threshold</w:t>
      </w:r>
    </w:p>
    <w:p w14:paraId="694B3BCA" w14:textId="59E64C46" w:rsidR="00371CFD" w:rsidRDefault="00371CFD" w:rsidP="00371CFD">
      <w:pPr>
        <w:pStyle w:val="ListParagraph"/>
        <w:numPr>
          <w:ilvl w:val="0"/>
          <w:numId w:val="7"/>
        </w:numPr>
        <w:tabs>
          <w:tab w:val="num" w:pos="720"/>
        </w:tabs>
        <w:jc w:val="both"/>
        <w:rPr>
          <w:rFonts w:ascii="Times New Roman" w:hAnsi="Times New Roman"/>
          <w:sz w:val="20"/>
          <w:szCs w:val="20"/>
        </w:rPr>
      </w:pPr>
      <w:r w:rsidRPr="00371CFD">
        <w:rPr>
          <w:rFonts w:ascii="Times New Roman" w:hAnsi="Times New Roman"/>
          <w:sz w:val="20"/>
          <w:szCs w:val="20"/>
        </w:rPr>
        <w:t>Communication range: It is better to have a low threshold if the targeted communication range is large so as to limit the experienced interference</w:t>
      </w:r>
      <w:r w:rsidR="007A3639">
        <w:rPr>
          <w:rFonts w:ascii="Times New Roman" w:hAnsi="Times New Roman"/>
          <w:sz w:val="20"/>
          <w:szCs w:val="20"/>
        </w:rPr>
        <w:t>.</w:t>
      </w:r>
    </w:p>
    <w:p w14:paraId="2BFFC58E" w14:textId="24EB3380" w:rsidR="00371CFD" w:rsidRPr="00371CFD" w:rsidRDefault="00371CFD" w:rsidP="00371CFD">
      <w:pPr>
        <w:tabs>
          <w:tab w:val="num" w:pos="720"/>
        </w:tabs>
        <w:jc w:val="both"/>
      </w:pPr>
      <w:r>
        <w:t xml:space="preserve">In LTE V2X, reliability and latency are considered in higher layer QoS priority. Communication range is a new QoS parameter introduced in NR V2X for groupcast services. The RSRP threshold in NR V2X can take communication range into consideration of priority information. Assume Tx priority as </w:t>
      </w:r>
      <w:r w:rsidRPr="00371CFD">
        <w:rPr>
          <w:i/>
        </w:rPr>
        <w:t>Prio</w:t>
      </w:r>
      <w:r w:rsidRPr="00371CFD">
        <w:rPr>
          <w:i/>
          <w:vertAlign w:val="subscript"/>
        </w:rPr>
        <w:t>Tx</w:t>
      </w:r>
      <w:r>
        <w:rPr>
          <w:vertAlign w:val="subscript"/>
        </w:rPr>
        <w:t xml:space="preserve">, </w:t>
      </w:r>
      <w:r>
        <w:t xml:space="preserve">Rx priority as </w:t>
      </w:r>
      <w:r w:rsidRPr="00371CFD">
        <w:rPr>
          <w:i/>
        </w:rPr>
        <w:t>Prio</w:t>
      </w:r>
      <w:r w:rsidRPr="00371CFD">
        <w:rPr>
          <w:i/>
          <w:vertAlign w:val="subscript"/>
        </w:rPr>
        <w:t>Rx</w:t>
      </w:r>
      <w:r>
        <w:rPr>
          <w:vertAlign w:val="subscript"/>
        </w:rPr>
        <w:t xml:space="preserve">, </w:t>
      </w:r>
      <w:r>
        <w:t xml:space="preserve">communication range as </w:t>
      </w:r>
      <w:r w:rsidRPr="00371CFD">
        <w:rPr>
          <w:i/>
        </w:rPr>
        <w:t>Prio</w:t>
      </w:r>
      <w:r w:rsidRPr="00371CFD">
        <w:rPr>
          <w:i/>
          <w:vertAlign w:val="subscript"/>
        </w:rPr>
        <w:t>CommRang</w:t>
      </w:r>
      <w:r>
        <w:t xml:space="preserve">, one simple method to add communication range </w:t>
      </w:r>
      <w:r w:rsidR="006F7675">
        <w:t>in</w:t>
      </w:r>
      <w:r>
        <w:t xml:space="preserve"> RSRP threshold is </w:t>
      </w:r>
      <w:r w:rsidR="006F7675">
        <w:t xml:space="preserve">to </w:t>
      </w:r>
      <w:r>
        <w:t xml:space="preserve">apply linear combination to these parameters. For example, RSRP threshold can be </w:t>
      </w:r>
      <w:r w:rsidRPr="00371CFD">
        <w:rPr>
          <w:i/>
        </w:rPr>
        <w:t>w</w:t>
      </w:r>
      <w:r w:rsidRPr="00371CFD">
        <w:rPr>
          <w:i/>
          <w:vertAlign w:val="subscript"/>
        </w:rPr>
        <w:t>1</w:t>
      </w:r>
      <w:r w:rsidRPr="00371CFD">
        <w:rPr>
          <w:i/>
        </w:rPr>
        <w:t>Prio</w:t>
      </w:r>
      <w:r w:rsidRPr="00371CFD">
        <w:rPr>
          <w:i/>
          <w:vertAlign w:val="subscript"/>
        </w:rPr>
        <w:t>Tx</w:t>
      </w:r>
      <w:r w:rsidRPr="00371CFD">
        <w:rPr>
          <w:i/>
        </w:rPr>
        <w:t>+w</w:t>
      </w:r>
      <w:r w:rsidRPr="00371CFD">
        <w:rPr>
          <w:i/>
          <w:vertAlign w:val="subscript"/>
        </w:rPr>
        <w:t>2</w:t>
      </w:r>
      <w:r w:rsidRPr="00371CFD">
        <w:rPr>
          <w:i/>
        </w:rPr>
        <w:t>Prio</w:t>
      </w:r>
      <w:r w:rsidRPr="00371CFD">
        <w:rPr>
          <w:i/>
          <w:vertAlign w:val="subscript"/>
        </w:rPr>
        <w:t>Rx</w:t>
      </w:r>
      <w:r w:rsidRPr="00371CFD">
        <w:rPr>
          <w:i/>
        </w:rPr>
        <w:t>+w</w:t>
      </w:r>
      <w:r w:rsidRPr="00371CFD">
        <w:rPr>
          <w:i/>
          <w:vertAlign w:val="subscript"/>
        </w:rPr>
        <w:t>3</w:t>
      </w:r>
      <w:r w:rsidRPr="00371CFD">
        <w:rPr>
          <w:i/>
        </w:rPr>
        <w:t>Prio</w:t>
      </w:r>
      <w:r w:rsidRPr="00371CFD">
        <w:rPr>
          <w:i/>
          <w:vertAlign w:val="subscript"/>
        </w:rPr>
        <w:t>CommRang</w:t>
      </w:r>
      <w:r w:rsidRPr="00371CFD">
        <w:rPr>
          <w:i/>
        </w:rPr>
        <w:t>+</w:t>
      </w:r>
      <w:r w:rsidRPr="00371CFD">
        <w:rPr>
          <w:rFonts w:ascii="Symbol" w:hAnsi="Symbol"/>
          <w:i/>
        </w:rPr>
        <w:t></w:t>
      </w:r>
      <w:r>
        <w:t xml:space="preserve"> or min( round( </w:t>
      </w:r>
      <w:r w:rsidRPr="00371CFD">
        <w:rPr>
          <w:i/>
        </w:rPr>
        <w:t>w</w:t>
      </w:r>
      <w:r w:rsidRPr="00371CFD">
        <w:rPr>
          <w:i/>
          <w:vertAlign w:val="subscript"/>
        </w:rPr>
        <w:t>1</w:t>
      </w:r>
      <w:r w:rsidRPr="00371CFD">
        <w:rPr>
          <w:i/>
        </w:rPr>
        <w:t>Prio</w:t>
      </w:r>
      <w:r w:rsidRPr="00371CFD">
        <w:rPr>
          <w:i/>
          <w:vertAlign w:val="subscript"/>
        </w:rPr>
        <w:t>Tx</w:t>
      </w:r>
      <w:r w:rsidRPr="00371CFD">
        <w:rPr>
          <w:i/>
        </w:rPr>
        <w:t>+w</w:t>
      </w:r>
      <w:r w:rsidRPr="00371CFD">
        <w:rPr>
          <w:i/>
          <w:vertAlign w:val="subscript"/>
        </w:rPr>
        <w:t>2</w:t>
      </w:r>
      <w:r w:rsidRPr="00371CFD">
        <w:rPr>
          <w:i/>
        </w:rPr>
        <w:t>Prio</w:t>
      </w:r>
      <w:r w:rsidRPr="00371CFD">
        <w:rPr>
          <w:i/>
          <w:vertAlign w:val="subscript"/>
        </w:rPr>
        <w:t>Rx</w:t>
      </w:r>
      <w:r w:rsidRPr="00371CFD">
        <w:rPr>
          <w:i/>
        </w:rPr>
        <w:t>+w</w:t>
      </w:r>
      <w:r w:rsidRPr="00371CFD">
        <w:rPr>
          <w:i/>
          <w:vertAlign w:val="subscript"/>
        </w:rPr>
        <w:t>3</w:t>
      </w:r>
      <w:r w:rsidRPr="00371CFD">
        <w:rPr>
          <w:i/>
        </w:rPr>
        <w:t>Prio</w:t>
      </w:r>
      <w:r w:rsidRPr="00371CFD">
        <w:rPr>
          <w:i/>
          <w:vertAlign w:val="subscript"/>
        </w:rPr>
        <w:t>CommRang</w:t>
      </w:r>
      <w:r>
        <w:rPr>
          <w:i/>
        </w:rPr>
        <w:t>+</w:t>
      </w:r>
      <w:r w:rsidRPr="00371CFD">
        <w:rPr>
          <w:rFonts w:ascii="Symbol" w:hAnsi="Symbol"/>
          <w:i/>
        </w:rPr>
        <w:t></w:t>
      </w:r>
      <w:r>
        <w:rPr>
          <w:i/>
          <w:vertAlign w:val="subscript"/>
        </w:rPr>
        <w:t xml:space="preserve"> </w:t>
      </w:r>
      <w:r w:rsidRPr="00371CFD">
        <w:t>)</w:t>
      </w:r>
      <w:r>
        <w:t xml:space="preserve">, </w:t>
      </w:r>
      <w:r w:rsidRPr="00371CFD">
        <w:rPr>
          <w:rFonts w:ascii="Symbol" w:hAnsi="Symbol"/>
          <w:i/>
        </w:rPr>
        <w:t></w:t>
      </w:r>
      <w:r>
        <w:t xml:space="preserve">), where </w:t>
      </w:r>
      <w:r w:rsidRPr="00371CFD">
        <w:rPr>
          <w:i/>
        </w:rPr>
        <w:t>w</w:t>
      </w:r>
      <w:r w:rsidRPr="00371CFD">
        <w:rPr>
          <w:i/>
          <w:vertAlign w:val="subscript"/>
        </w:rPr>
        <w:t>i</w:t>
      </w:r>
      <w:r>
        <w:t xml:space="preserve"> are preconfigured weightings, </w:t>
      </w:r>
      <w:r w:rsidRPr="00371CFD">
        <w:rPr>
          <w:rFonts w:ascii="Symbol" w:hAnsi="Symbol"/>
          <w:i/>
        </w:rPr>
        <w:t></w:t>
      </w:r>
      <w:r>
        <w:t xml:space="preserve"> is a preconfigured threshold, and </w:t>
      </w:r>
      <w:r w:rsidRPr="00371CFD">
        <w:rPr>
          <w:rFonts w:ascii="Symbol" w:hAnsi="Symbol"/>
          <w:i/>
        </w:rPr>
        <w:t></w:t>
      </w:r>
      <w:r>
        <w:rPr>
          <w:rFonts w:ascii="Symbol" w:hAnsi="Symbol"/>
          <w:i/>
        </w:rPr>
        <w:t></w:t>
      </w:r>
      <w:r>
        <w:t xml:space="preserve">is a constant. If </w:t>
      </w:r>
      <w:r w:rsidRPr="00371CFD">
        <w:rPr>
          <w:i/>
        </w:rPr>
        <w:t>w</w:t>
      </w:r>
      <w:r w:rsidRPr="00371CFD">
        <w:rPr>
          <w:vertAlign w:val="subscript"/>
        </w:rPr>
        <w:t>1</w:t>
      </w:r>
      <w:r>
        <w:t xml:space="preserve">=8, </w:t>
      </w:r>
      <w:r w:rsidRPr="00371CFD">
        <w:rPr>
          <w:i/>
        </w:rPr>
        <w:t>w</w:t>
      </w:r>
      <w:r w:rsidRPr="00371CFD">
        <w:rPr>
          <w:vertAlign w:val="subscript"/>
        </w:rPr>
        <w:t>2</w:t>
      </w:r>
      <w:r>
        <w:t xml:space="preserve">=1, </w:t>
      </w:r>
      <w:r w:rsidRPr="00371CFD">
        <w:rPr>
          <w:i/>
        </w:rPr>
        <w:t>w</w:t>
      </w:r>
      <w:r w:rsidRPr="00371CFD">
        <w:rPr>
          <w:vertAlign w:val="subscript"/>
        </w:rPr>
        <w:t>3</w:t>
      </w:r>
      <w:r>
        <w:t xml:space="preserve">=0, </w:t>
      </w:r>
      <w:r w:rsidRPr="00371CFD">
        <w:rPr>
          <w:rFonts w:ascii="Symbol" w:hAnsi="Symbol"/>
          <w:i/>
        </w:rPr>
        <w:t></w:t>
      </w:r>
      <w:r>
        <w:t xml:space="preserve">=64, </w:t>
      </w:r>
      <w:r w:rsidRPr="00371CFD">
        <w:rPr>
          <w:rFonts w:ascii="Symbol" w:hAnsi="Symbol"/>
          <w:i/>
        </w:rPr>
        <w:t></w:t>
      </w:r>
      <w:r>
        <w:t>=1, the modified RSRP threshold can be deduced to an LTE one.</w:t>
      </w:r>
    </w:p>
    <w:p w14:paraId="18FB0C82" w14:textId="07220BA0" w:rsidR="00371CFD" w:rsidRDefault="00371CFD" w:rsidP="00371CFD">
      <w:pPr>
        <w:spacing w:before="120" w:after="120"/>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12</w:t>
      </w:r>
      <w:r w:rsidRPr="000F17D2">
        <w:rPr>
          <w:b/>
          <w:u w:val="single"/>
        </w:rPr>
        <w:fldChar w:fldCharType="end"/>
      </w:r>
      <w:r w:rsidRPr="00B0488D">
        <w:t xml:space="preserve">: </w:t>
      </w:r>
      <w:r>
        <w:t>RSRP threshold can be related to Tx priority, Rx priority, and communication range.</w:t>
      </w:r>
    </w:p>
    <w:p w14:paraId="5B82495C" w14:textId="0A72601C" w:rsidR="00306732" w:rsidRDefault="006859F5" w:rsidP="00D64335">
      <w:pPr>
        <w:pStyle w:val="Heading2"/>
      </w:pPr>
      <w:r>
        <w:lastRenderedPageBreak/>
        <w:t>Resource g</w:t>
      </w:r>
      <w:r w:rsidR="00306732">
        <w:t xml:space="preserve">ranularity </w:t>
      </w:r>
      <w:r>
        <w:t>for</w:t>
      </w:r>
      <w:r w:rsidR="00306732">
        <w:t xml:space="preserve"> sensing and resource selection</w:t>
      </w:r>
    </w:p>
    <w:p w14:paraId="0148C2D5" w14:textId="138B7383" w:rsidR="007929B2" w:rsidRDefault="007929B2" w:rsidP="007929B2">
      <w:pPr>
        <w:pStyle w:val="Heading3"/>
      </w:pPr>
      <w:r>
        <w:t>Slot aggregation for resource selection</w:t>
      </w:r>
    </w:p>
    <w:p w14:paraId="7A10C305" w14:textId="00575057" w:rsidR="007929B2" w:rsidRDefault="007929B2" w:rsidP="007929B2">
      <w:pPr>
        <w:jc w:val="both"/>
      </w:pPr>
      <w:r>
        <w:t xml:space="preserve">Whether to support slot aggregation for resource selection is an </w:t>
      </w:r>
      <w:r w:rsidR="006F7675">
        <w:t xml:space="preserve">open </w:t>
      </w:r>
      <w:r>
        <w:t>issue in RAN1 discussion. To use slot aggregation is beneficial to transmit a large packet. However, slot aggregation would introduce several disadvantages:</w:t>
      </w:r>
    </w:p>
    <w:p w14:paraId="50BA8B55" w14:textId="2FF2F1DB" w:rsidR="007929B2" w:rsidRDefault="007929B2" w:rsidP="007929B2">
      <w:pPr>
        <w:pStyle w:val="ListParagraph"/>
        <w:numPr>
          <w:ilvl w:val="0"/>
          <w:numId w:val="14"/>
        </w:numPr>
        <w:spacing w:before="120" w:after="120"/>
        <w:ind w:left="714" w:hanging="357"/>
        <w:jc w:val="both"/>
        <w:rPr>
          <w:rFonts w:ascii="Times New Roman" w:hAnsi="Times New Roman"/>
          <w:sz w:val="20"/>
          <w:szCs w:val="20"/>
        </w:rPr>
      </w:pPr>
      <w:r w:rsidRPr="007929B2">
        <w:rPr>
          <w:rFonts w:ascii="Times New Roman" w:hAnsi="Times New Roman"/>
          <w:sz w:val="20"/>
          <w:szCs w:val="20"/>
        </w:rPr>
        <w:t>Half duplex problem:</w:t>
      </w:r>
      <w:r>
        <w:rPr>
          <w:rFonts w:ascii="Times New Roman" w:hAnsi="Times New Roman"/>
          <w:sz w:val="20"/>
          <w:szCs w:val="20"/>
        </w:rPr>
        <w:t xml:space="preserve"> if a UE is receiving a packet with slot aggregation and would like to transmit a</w:t>
      </w:r>
      <w:r w:rsidR="006F7675">
        <w:rPr>
          <w:rFonts w:ascii="Times New Roman" w:hAnsi="Times New Roman"/>
          <w:sz w:val="20"/>
          <w:szCs w:val="20"/>
        </w:rPr>
        <w:t>nother</w:t>
      </w:r>
      <w:r>
        <w:rPr>
          <w:rFonts w:ascii="Times New Roman" w:hAnsi="Times New Roman"/>
          <w:sz w:val="20"/>
          <w:szCs w:val="20"/>
        </w:rPr>
        <w:t xml:space="preserve"> packet, the UE should abandon the received information and fail to decode the data. However, if the receiving packet is scheduled in slot</w:t>
      </w:r>
      <w:r w:rsidR="006F7675">
        <w:rPr>
          <w:rFonts w:ascii="Times New Roman" w:hAnsi="Times New Roman"/>
          <w:sz w:val="20"/>
          <w:szCs w:val="20"/>
        </w:rPr>
        <w:t>-level</w:t>
      </w:r>
      <w:r>
        <w:rPr>
          <w:rFonts w:ascii="Times New Roman" w:hAnsi="Times New Roman"/>
          <w:sz w:val="20"/>
          <w:szCs w:val="20"/>
        </w:rPr>
        <w:t xml:space="preserve">, only one packet is lost due to half duplex problem and can be recovered by retransmission. </w:t>
      </w:r>
    </w:p>
    <w:p w14:paraId="6316C2BC" w14:textId="571AA4CF" w:rsidR="007929B2" w:rsidRDefault="007929B2" w:rsidP="007929B2">
      <w:pPr>
        <w:pStyle w:val="ListParagraph"/>
        <w:numPr>
          <w:ilvl w:val="0"/>
          <w:numId w:val="14"/>
        </w:numPr>
        <w:spacing w:before="120" w:after="120"/>
        <w:ind w:left="714" w:hanging="357"/>
        <w:jc w:val="both"/>
        <w:rPr>
          <w:rFonts w:ascii="Times New Roman" w:hAnsi="Times New Roman"/>
          <w:sz w:val="20"/>
          <w:szCs w:val="20"/>
        </w:rPr>
      </w:pPr>
      <w:r>
        <w:rPr>
          <w:rFonts w:ascii="Times New Roman" w:hAnsi="Times New Roman"/>
          <w:sz w:val="20"/>
          <w:szCs w:val="20"/>
        </w:rPr>
        <w:t>More resource collision: in resource selection, slot aggregation would result more resource collision especially in congested traffic condition.</w:t>
      </w:r>
    </w:p>
    <w:p w14:paraId="34318758" w14:textId="1808BBC3" w:rsidR="007929B2" w:rsidRDefault="007929B2" w:rsidP="007929B2">
      <w:pPr>
        <w:pStyle w:val="ListParagraph"/>
        <w:numPr>
          <w:ilvl w:val="0"/>
          <w:numId w:val="14"/>
        </w:numPr>
        <w:spacing w:before="120" w:after="120"/>
        <w:ind w:left="714" w:hanging="357"/>
        <w:jc w:val="both"/>
        <w:rPr>
          <w:rFonts w:ascii="Times New Roman" w:hAnsi="Times New Roman"/>
          <w:sz w:val="20"/>
          <w:szCs w:val="20"/>
        </w:rPr>
      </w:pPr>
      <w:r>
        <w:rPr>
          <w:rFonts w:ascii="Times New Roman" w:hAnsi="Times New Roman"/>
          <w:sz w:val="20"/>
          <w:szCs w:val="20"/>
        </w:rPr>
        <w:t xml:space="preserve">Specification impact: one TB spanning multiple slots is not supported in NR eMBB. It needs more efforts on specification. If TB repetition is used in slot aggregation, coverage extension can be expected but it is not the major </w:t>
      </w:r>
      <w:r w:rsidR="006F7675">
        <w:rPr>
          <w:rFonts w:ascii="Times New Roman" w:hAnsi="Times New Roman"/>
          <w:sz w:val="20"/>
          <w:szCs w:val="20"/>
        </w:rPr>
        <w:t>concern in N</w:t>
      </w:r>
      <w:r>
        <w:rPr>
          <w:rFonts w:ascii="Times New Roman" w:hAnsi="Times New Roman"/>
          <w:sz w:val="20"/>
          <w:szCs w:val="20"/>
        </w:rPr>
        <w:t>R V2X.</w:t>
      </w:r>
    </w:p>
    <w:p w14:paraId="1BA27A0C" w14:textId="45231B83" w:rsidR="007929B2" w:rsidRPr="007929B2" w:rsidRDefault="007929B2" w:rsidP="007929B2">
      <w:pPr>
        <w:spacing w:before="120" w:after="120"/>
        <w:jc w:val="both"/>
      </w:pPr>
      <w:r>
        <w:t>Based on the above analysis, we tend to not support slot aggregation in NR V2X.</w:t>
      </w:r>
    </w:p>
    <w:p w14:paraId="5F67273D" w14:textId="661CFB84" w:rsidR="007929B2" w:rsidRDefault="007929B2" w:rsidP="007929B2">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13</w:t>
      </w:r>
      <w:r w:rsidRPr="000F17D2">
        <w:rPr>
          <w:b/>
          <w:u w:val="single"/>
        </w:rPr>
        <w:fldChar w:fldCharType="end"/>
      </w:r>
      <w:r w:rsidRPr="00B0488D">
        <w:t xml:space="preserve">: </w:t>
      </w:r>
      <w:r>
        <w:t>Slot aggregation is not supported in NR V2X.</w:t>
      </w:r>
    </w:p>
    <w:p w14:paraId="00E9EE18" w14:textId="5D155B3B" w:rsidR="007929B2" w:rsidRDefault="007929B2" w:rsidP="007929B2">
      <w:pPr>
        <w:pStyle w:val="Heading3"/>
      </w:pPr>
      <w:r>
        <w:t>Mini-slot for resource selection</w:t>
      </w:r>
    </w:p>
    <w:p w14:paraId="67DB2488" w14:textId="083062E9" w:rsidR="007929B2" w:rsidRDefault="007929B2" w:rsidP="007929B2">
      <w:pPr>
        <w:jc w:val="both"/>
        <w:rPr>
          <w:lang w:val="en-GB"/>
        </w:rPr>
      </w:pPr>
      <w:r>
        <w:rPr>
          <w:lang w:val="en-GB"/>
        </w:rPr>
        <w:t>In NR V2X, multiple numerology (SCS 15/30/60/120 kHz) is supported. Mini-slot is beneficial to low latency applications. However, low latency requirement can also be achieved by using higher subcarrier spacing configuration, such as 60 kHz. Mini-slot also introduces more complexity for sensing and resource selection, therefore, it is less attractive in NR V2X.</w:t>
      </w:r>
    </w:p>
    <w:p w14:paraId="399551B5" w14:textId="0B4B9A90" w:rsidR="007929B2" w:rsidRPr="007929B2" w:rsidRDefault="007929B2" w:rsidP="007929B2">
      <w:pPr>
        <w:jc w:val="both"/>
        <w:rPr>
          <w:lang w:val="en-GB"/>
        </w:rPr>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14</w:t>
      </w:r>
      <w:r w:rsidRPr="000F17D2">
        <w:rPr>
          <w:b/>
          <w:u w:val="single"/>
        </w:rPr>
        <w:fldChar w:fldCharType="end"/>
      </w:r>
      <w:r w:rsidRPr="00B0488D">
        <w:t xml:space="preserve">: </w:t>
      </w:r>
      <w:r>
        <w:t>Mini-slot is not supported in NR V2X.</w:t>
      </w:r>
    </w:p>
    <w:p w14:paraId="1134F8FF" w14:textId="77777777" w:rsidR="00F547F5" w:rsidRDefault="00F547F5" w:rsidP="00D64335">
      <w:pPr>
        <w:pStyle w:val="Heading2"/>
      </w:pPr>
      <w:r>
        <w:t>Sidelink measurements for sensing procedure</w:t>
      </w:r>
    </w:p>
    <w:p w14:paraId="781E1DFE" w14:textId="38411598" w:rsidR="00596E3F" w:rsidRDefault="00EF0662" w:rsidP="00D64335">
      <w:pPr>
        <w:pStyle w:val="Heading3"/>
      </w:pPr>
      <w:r>
        <w:t>SL-</w:t>
      </w:r>
      <w:r w:rsidR="00596E3F">
        <w:t>RSRP</w:t>
      </w:r>
    </w:p>
    <w:p w14:paraId="028E6005" w14:textId="7A168087" w:rsidR="00AB15B5" w:rsidRDefault="002022BB" w:rsidP="00AA6DF3">
      <w:pPr>
        <w:jc w:val="both"/>
      </w:pPr>
      <w:r>
        <w:t xml:space="preserve">In LTE V2X, </w:t>
      </w:r>
      <w:r w:rsidR="00EF0662">
        <w:t>SL-</w:t>
      </w:r>
      <w:r>
        <w:t xml:space="preserve">RSRP is defined as the </w:t>
      </w:r>
      <w:r w:rsidR="00EB06A0">
        <w:t xml:space="preserve">signal </w:t>
      </w:r>
      <w:r>
        <w:t xml:space="preserve">power </w:t>
      </w:r>
      <w:r w:rsidR="00EB06A0">
        <w:t xml:space="preserve">of </w:t>
      </w:r>
      <w:r>
        <w:t>PSSCH</w:t>
      </w:r>
      <w:r w:rsidR="00EB06A0">
        <w:t xml:space="preserve"> DMRS</w:t>
      </w:r>
      <w:r>
        <w:t xml:space="preserve">. It can be reused in </w:t>
      </w:r>
      <w:r w:rsidR="00B96AEF">
        <w:t xml:space="preserve">NR </w:t>
      </w:r>
      <w:r>
        <w:t xml:space="preserve">V2X for broadcasting services. </w:t>
      </w:r>
      <w:r w:rsidR="006F7675">
        <w:t>I</w:t>
      </w:r>
      <w:r>
        <w:t xml:space="preserve">n NR V2X, unicast and groupcast transmission </w:t>
      </w:r>
      <w:r w:rsidR="00B96AEF">
        <w:t>should</w:t>
      </w:r>
      <w:r>
        <w:t xml:space="preserve"> be supported. The data channel information and control information might be scrambled/associated by UE or group ID and the DMRS information might </w:t>
      </w:r>
      <w:r w:rsidR="00EF0662">
        <w:t xml:space="preserve">be </w:t>
      </w:r>
      <w:r>
        <w:t xml:space="preserve">not decoded by all UEs. </w:t>
      </w:r>
      <w:r w:rsidR="00425C08">
        <w:t xml:space="preserve">That is, PSSCH RSRP might not be obtained for unicast or groupcast service. </w:t>
      </w:r>
      <w:r w:rsidR="00AB15B5">
        <w:t xml:space="preserve">There </w:t>
      </w:r>
      <w:r w:rsidR="006F7675">
        <w:t>are</w:t>
      </w:r>
      <w:r w:rsidR="00AB15B5">
        <w:t xml:space="preserve"> two solutions to solve this problem:</w:t>
      </w:r>
    </w:p>
    <w:p w14:paraId="0BC2CB92" w14:textId="69F48F1F" w:rsidR="00AB15B5" w:rsidRDefault="00AB15B5" w:rsidP="00AB15B5">
      <w:pPr>
        <w:pStyle w:val="ListParagraph"/>
        <w:numPr>
          <w:ilvl w:val="0"/>
          <w:numId w:val="17"/>
        </w:numPr>
        <w:spacing w:before="120" w:after="120"/>
        <w:ind w:left="714" w:hanging="357"/>
        <w:jc w:val="both"/>
        <w:rPr>
          <w:rFonts w:ascii="Times New Roman" w:hAnsi="Times New Roman"/>
          <w:sz w:val="20"/>
          <w:szCs w:val="20"/>
        </w:rPr>
      </w:pPr>
      <w:r>
        <w:rPr>
          <w:rFonts w:ascii="Times New Roman" w:hAnsi="Times New Roman"/>
          <w:sz w:val="20"/>
          <w:szCs w:val="20"/>
        </w:rPr>
        <w:t>N</w:t>
      </w:r>
      <w:r w:rsidRPr="00AB15B5">
        <w:rPr>
          <w:rFonts w:ascii="Times New Roman" w:hAnsi="Times New Roman"/>
          <w:sz w:val="20"/>
          <w:szCs w:val="20"/>
        </w:rPr>
        <w:t>ot to scramble SC</w:t>
      </w:r>
      <w:r>
        <w:rPr>
          <w:rFonts w:ascii="Times New Roman" w:hAnsi="Times New Roman"/>
          <w:sz w:val="20"/>
          <w:szCs w:val="20"/>
        </w:rPr>
        <w:t>I information by UE or group ID: then the data DMRS information can be decoded and PSSCH DMRS RSRP can be obtained.</w:t>
      </w:r>
    </w:p>
    <w:p w14:paraId="3E1FEDDA" w14:textId="2AF315F5" w:rsidR="00AB15B5" w:rsidRPr="00AB15B5" w:rsidRDefault="00EB06A0" w:rsidP="00AB15B5">
      <w:pPr>
        <w:pStyle w:val="ListParagraph"/>
        <w:numPr>
          <w:ilvl w:val="0"/>
          <w:numId w:val="17"/>
        </w:numPr>
        <w:spacing w:before="120" w:after="120"/>
        <w:ind w:left="714" w:hanging="357"/>
        <w:jc w:val="both"/>
        <w:rPr>
          <w:rFonts w:ascii="Times New Roman" w:hAnsi="Times New Roman"/>
          <w:sz w:val="20"/>
          <w:szCs w:val="20"/>
        </w:rPr>
      </w:pPr>
      <w:r>
        <w:rPr>
          <w:rFonts w:ascii="Times New Roman" w:hAnsi="Times New Roman"/>
          <w:sz w:val="20"/>
          <w:szCs w:val="20"/>
        </w:rPr>
        <w:t xml:space="preserve">Configuration of </w:t>
      </w:r>
      <w:r w:rsidR="00A729E2">
        <w:rPr>
          <w:rFonts w:ascii="Times New Roman" w:hAnsi="Times New Roman"/>
          <w:sz w:val="20"/>
          <w:szCs w:val="20"/>
        </w:rPr>
        <w:t>d</w:t>
      </w:r>
      <w:r w:rsidR="00AB15B5">
        <w:rPr>
          <w:rFonts w:ascii="Times New Roman" w:hAnsi="Times New Roman"/>
          <w:sz w:val="20"/>
          <w:szCs w:val="20"/>
        </w:rPr>
        <w:t>ata DMRS is carried by 1</w:t>
      </w:r>
      <w:r w:rsidR="00AB15B5" w:rsidRPr="00AB15B5">
        <w:rPr>
          <w:rFonts w:ascii="Times New Roman" w:hAnsi="Times New Roman"/>
          <w:sz w:val="20"/>
          <w:szCs w:val="20"/>
          <w:vertAlign w:val="superscript"/>
        </w:rPr>
        <w:t>st</w:t>
      </w:r>
      <w:r w:rsidR="00AB15B5">
        <w:rPr>
          <w:rFonts w:ascii="Times New Roman" w:hAnsi="Times New Roman"/>
          <w:sz w:val="20"/>
          <w:szCs w:val="20"/>
        </w:rPr>
        <w:t xml:space="preserve"> SCI in 2-stage SCI design: 1</w:t>
      </w:r>
      <w:r w:rsidR="00AB15B5" w:rsidRPr="00AB15B5">
        <w:rPr>
          <w:rFonts w:ascii="Times New Roman" w:hAnsi="Times New Roman"/>
          <w:sz w:val="20"/>
          <w:szCs w:val="20"/>
          <w:vertAlign w:val="superscript"/>
        </w:rPr>
        <w:t>st</w:t>
      </w:r>
      <w:r w:rsidR="00AB15B5">
        <w:rPr>
          <w:rFonts w:ascii="Times New Roman" w:hAnsi="Times New Roman"/>
          <w:sz w:val="20"/>
          <w:szCs w:val="20"/>
        </w:rPr>
        <w:t xml:space="preserve"> SCI would carry broadcasting and sensing information. After successfully decoding 1</w:t>
      </w:r>
      <w:r w:rsidR="00AB15B5" w:rsidRPr="00AB15B5">
        <w:rPr>
          <w:rFonts w:ascii="Times New Roman" w:hAnsi="Times New Roman"/>
          <w:sz w:val="20"/>
          <w:szCs w:val="20"/>
          <w:vertAlign w:val="superscript"/>
        </w:rPr>
        <w:t>st</w:t>
      </w:r>
      <w:r w:rsidR="00AB15B5">
        <w:rPr>
          <w:rFonts w:ascii="Times New Roman" w:hAnsi="Times New Roman"/>
          <w:sz w:val="20"/>
          <w:szCs w:val="20"/>
        </w:rPr>
        <w:t xml:space="preserve"> SCI, PSSCH RSRP can also be obtained. </w:t>
      </w:r>
    </w:p>
    <w:p w14:paraId="78B7612A" w14:textId="2A6EDE9C" w:rsidR="002022BB" w:rsidRDefault="00AB15B5" w:rsidP="00AA6DF3">
      <w:pPr>
        <w:jc w:val="both"/>
      </w:pPr>
      <w:r>
        <w:t xml:space="preserve">Whether to use PSCCH RSRP in sensing procedure is one issue in NR V2X. </w:t>
      </w:r>
      <w:r w:rsidR="00EF0662">
        <w:t xml:space="preserve">The precision of </w:t>
      </w:r>
      <w:r w:rsidR="00425C08">
        <w:t xml:space="preserve">PSCCH </w:t>
      </w:r>
      <w:r w:rsidR="002022BB">
        <w:t xml:space="preserve">RSRP </w:t>
      </w:r>
      <w:r w:rsidR="00EF0662">
        <w:t xml:space="preserve">is less than that of </w:t>
      </w:r>
      <w:r w:rsidR="00425C08">
        <w:t xml:space="preserve">PSSCH </w:t>
      </w:r>
      <w:r w:rsidR="002022BB">
        <w:t xml:space="preserve">RSRP due to </w:t>
      </w:r>
      <w:r w:rsidR="00EF0662">
        <w:t xml:space="preserve">less DMRS in PSCCH. </w:t>
      </w:r>
      <w:r>
        <w:t xml:space="preserve">In order to have better sensing performance, it is more feasible to use PSSCH RSRP. </w:t>
      </w:r>
    </w:p>
    <w:p w14:paraId="48C06F6F" w14:textId="25E008EA" w:rsidR="00661BC5" w:rsidRDefault="001F74EC"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15</w:t>
      </w:r>
      <w:r w:rsidRPr="000F17D2">
        <w:rPr>
          <w:b/>
          <w:u w:val="single"/>
        </w:rPr>
        <w:fldChar w:fldCharType="end"/>
      </w:r>
      <w:r w:rsidR="00661BC5" w:rsidRPr="00B0488D">
        <w:t xml:space="preserve">: </w:t>
      </w:r>
      <w:r w:rsidR="00EF0662">
        <w:t>SL-</w:t>
      </w:r>
      <w:r w:rsidR="002022BB">
        <w:t>RSRP measurement</w:t>
      </w:r>
      <w:r w:rsidR="00AB15B5">
        <w:t xml:space="preserve"> is supported by using PSSCH DMRS</w:t>
      </w:r>
      <w:r w:rsidR="002022BB">
        <w:t xml:space="preserve"> in NR V2X</w:t>
      </w:r>
      <w:r w:rsidR="00AB15B5">
        <w:t>.</w:t>
      </w:r>
    </w:p>
    <w:p w14:paraId="68CBF8B7" w14:textId="2C8188B7" w:rsidR="00196D9F" w:rsidRDefault="00EF0662" w:rsidP="00D64335">
      <w:pPr>
        <w:pStyle w:val="Heading3"/>
      </w:pPr>
      <w:r>
        <w:lastRenderedPageBreak/>
        <w:t>SL-</w:t>
      </w:r>
      <w:r w:rsidR="00196D9F">
        <w:t>RSSI</w:t>
      </w:r>
    </w:p>
    <w:p w14:paraId="716B70EA" w14:textId="0F2A1247" w:rsidR="00B40B2D" w:rsidRDefault="00B40B2D" w:rsidP="00AA6DF3">
      <w:pPr>
        <w:jc w:val="both"/>
      </w:pPr>
      <w:r>
        <w:t xml:space="preserve">In case SCI </w:t>
      </w:r>
      <w:r w:rsidR="00155537">
        <w:t xml:space="preserve">cannot be successfully </w:t>
      </w:r>
      <w:r>
        <w:t xml:space="preserve">decoded, </w:t>
      </w:r>
      <w:r w:rsidR="00155537">
        <w:t xml:space="preserve">then a UE will not measure </w:t>
      </w:r>
      <w:r>
        <w:t xml:space="preserve">SL-RSRP and </w:t>
      </w:r>
      <w:r w:rsidR="00155537">
        <w:t xml:space="preserve">thus </w:t>
      </w:r>
      <w:r>
        <w:t xml:space="preserve">SL-RSSI should be applied to measure interference level. If SL-RSSI is not applied, the sensing procedure would not work and the occupied resource </w:t>
      </w:r>
      <w:r w:rsidR="006F7675">
        <w:t>might</w:t>
      </w:r>
      <w:r>
        <w:t xml:space="preserve"> be selected to </w:t>
      </w:r>
      <w:r w:rsidR="006F7675">
        <w:t xml:space="preserve">result in </w:t>
      </w:r>
      <w:r>
        <w:t>collision and performance degradation.</w:t>
      </w:r>
    </w:p>
    <w:p w14:paraId="54447733" w14:textId="6090924C" w:rsidR="00B40B2D" w:rsidRDefault="00B40B2D"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16</w:t>
      </w:r>
      <w:r w:rsidRPr="000F17D2">
        <w:rPr>
          <w:b/>
          <w:u w:val="single"/>
        </w:rPr>
        <w:fldChar w:fldCharType="end"/>
      </w:r>
      <w:r w:rsidRPr="00B0488D">
        <w:t xml:space="preserve">: </w:t>
      </w:r>
      <w:r>
        <w:t>SL-RSSI is supported</w:t>
      </w:r>
      <w:r w:rsidR="00664BD1">
        <w:t xml:space="preserve"> in the sensing and resource selection procedure of NR V2X</w:t>
      </w:r>
      <w:r>
        <w:t xml:space="preserve">. </w:t>
      </w:r>
    </w:p>
    <w:p w14:paraId="5E2D36E9" w14:textId="1EC2B5C7" w:rsidR="00CE5C4C" w:rsidRDefault="00CE5C4C" w:rsidP="00AA6DF3">
      <w:pPr>
        <w:jc w:val="both"/>
      </w:pPr>
      <w:r>
        <w:t xml:space="preserve">In LTE V2X, </w:t>
      </w:r>
      <w:r w:rsidR="00EF0662">
        <w:t>SL-</w:t>
      </w:r>
      <w:r w:rsidR="00661BC5">
        <w:t xml:space="preserve">RSSI is defined as the linear average of total received power per symbol observed in the configured subchannel by the UE. </w:t>
      </w:r>
      <w:r>
        <w:t>However, the environment of V2X is very dynamic. Some UEs would join and some UEs would leave</w:t>
      </w:r>
      <w:r w:rsidRPr="00CE5C4C">
        <w:t xml:space="preserve"> </w:t>
      </w:r>
      <w:r w:rsidR="00661BC5">
        <w:t xml:space="preserve">in </w:t>
      </w:r>
      <w:r>
        <w:t>V2X communications. Linear average operation can be enhance</w:t>
      </w:r>
      <w:r w:rsidR="00661BC5">
        <w:t>d</w:t>
      </w:r>
      <w:r>
        <w:t xml:space="preserve"> </w:t>
      </w:r>
      <w:r w:rsidR="00661BC5">
        <w:t xml:space="preserve">by a </w:t>
      </w:r>
      <w:r>
        <w:t xml:space="preserve">weighted average operation. Up-to-date subframes/slots </w:t>
      </w:r>
      <w:r w:rsidR="00661BC5">
        <w:t>with</w:t>
      </w:r>
      <w:r>
        <w:t xml:space="preserve"> larger weight</w:t>
      </w:r>
      <w:r w:rsidR="00661BC5">
        <w:t>s</w:t>
      </w:r>
      <w:r>
        <w:t xml:space="preserve"> to </w:t>
      </w:r>
      <w:r w:rsidR="00DC6462">
        <w:t xml:space="preserve">emphasize </w:t>
      </w:r>
      <w:r>
        <w:t>the resource information</w:t>
      </w:r>
      <w:r w:rsidR="00DC6462">
        <w:t xml:space="preserve"> near the</w:t>
      </w:r>
      <w:r w:rsidR="00AB15B5">
        <w:t xml:space="preserve"> resource</w:t>
      </w:r>
      <w:r w:rsidR="00DC6462">
        <w:t xml:space="preserve"> selection window</w:t>
      </w:r>
      <w:r>
        <w:t xml:space="preserve">. </w:t>
      </w:r>
      <w:r w:rsidR="00661BC5">
        <w:t>For example, the weighting function can be a step function with different levels (higher levels near the selection window) or an exponential function.</w:t>
      </w:r>
    </w:p>
    <w:p w14:paraId="63C4BCBB" w14:textId="661451A0" w:rsidR="00CE5C4C" w:rsidRDefault="001F74EC"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17</w:t>
      </w:r>
      <w:r w:rsidRPr="000F17D2">
        <w:rPr>
          <w:b/>
          <w:u w:val="single"/>
        </w:rPr>
        <w:fldChar w:fldCharType="end"/>
      </w:r>
      <w:r w:rsidR="00CE5C4C" w:rsidRPr="00B0488D">
        <w:t xml:space="preserve">: </w:t>
      </w:r>
      <w:r w:rsidR="00CE5C4C">
        <w:t>One weighting function can be introduced for averaging S</w:t>
      </w:r>
      <w:r w:rsidR="00EF0662">
        <w:t>L</w:t>
      </w:r>
      <w:r w:rsidR="00CE5C4C">
        <w:t xml:space="preserve">-RSSI in sidelink measurement process. </w:t>
      </w:r>
      <w:r w:rsidR="00661BC5">
        <w:t>The weighting function can be a step function or an exponential function.</w:t>
      </w:r>
    </w:p>
    <w:p w14:paraId="06AAB4DD" w14:textId="5E5396F8" w:rsidR="00550C6E" w:rsidRDefault="00480D0E" w:rsidP="00D64335">
      <w:pPr>
        <w:pStyle w:val="Heading2"/>
      </w:pPr>
      <w:r>
        <w:t>R</w:t>
      </w:r>
      <w:r w:rsidR="00B0488D">
        <w:t>esource selection</w:t>
      </w:r>
      <w:r>
        <w:t xml:space="preserve"> procedure</w:t>
      </w:r>
    </w:p>
    <w:p w14:paraId="30FC062E" w14:textId="04DDFF34" w:rsidR="0068734D" w:rsidRDefault="009B727B" w:rsidP="00AA6DF3">
      <w:pPr>
        <w:jc w:val="both"/>
      </w:pPr>
      <w:r>
        <w:t>In Mode 2, a UE can identify the occupied resource</w:t>
      </w:r>
      <w:r w:rsidR="0077757F">
        <w:t>s</w:t>
      </w:r>
      <w:r w:rsidR="00744230">
        <w:t xml:space="preserve"> in resource selection window</w:t>
      </w:r>
      <w:r>
        <w:t xml:space="preserve"> by the </w:t>
      </w:r>
      <w:r w:rsidR="00480D0E">
        <w:t>sensing procedure</w:t>
      </w:r>
      <w:r w:rsidR="00744230">
        <w:t xml:space="preserve">. </w:t>
      </w:r>
      <w:r w:rsidR="00C53FAE">
        <w:t xml:space="preserve">The UE </w:t>
      </w:r>
      <w:r w:rsidR="00744230">
        <w:t>obtain</w:t>
      </w:r>
      <w:r w:rsidR="00C53FAE">
        <w:t>s</w:t>
      </w:r>
      <w:r w:rsidR="00744230">
        <w:t xml:space="preserve"> the available resource</w:t>
      </w:r>
      <w:r w:rsidR="0077757F">
        <w:t>s</w:t>
      </w:r>
      <w:r w:rsidR="00744230">
        <w:t xml:space="preserve"> in resource selection window by excluding the occupied resource</w:t>
      </w:r>
      <w:r w:rsidR="0077757F">
        <w:t>s</w:t>
      </w:r>
      <w:r w:rsidR="00744230">
        <w:t xml:space="preserve"> with SL-RSRP larger than a pre-configured threshold. </w:t>
      </w:r>
      <w:r w:rsidR="00C53FAE">
        <w:t xml:space="preserve">Then, the UE </w:t>
      </w:r>
      <w:r w:rsidR="00744230">
        <w:t>select</w:t>
      </w:r>
      <w:r w:rsidR="00C53FAE">
        <w:t>s</w:t>
      </w:r>
      <w:r w:rsidR="00744230">
        <w:t xml:space="preserve"> available resource</w:t>
      </w:r>
      <w:r w:rsidR="0077757F">
        <w:t>s as resource candidates set</w:t>
      </w:r>
      <w:r w:rsidR="00744230">
        <w:t xml:space="preserve">, which is equal to </w:t>
      </w:r>
      <w:r w:rsidR="0077757F">
        <w:t xml:space="preserve">or larger than </w:t>
      </w:r>
      <w:r w:rsidR="00744230">
        <w:t>one fixed percentage (e.g. 20 % in LTE V2X) of all resource</w:t>
      </w:r>
      <w:r w:rsidR="0077757F">
        <w:t>s</w:t>
      </w:r>
      <w:r w:rsidR="00744230">
        <w:t xml:space="preserve">, then </w:t>
      </w:r>
      <w:r>
        <w:t xml:space="preserve">pass the information to MAC </w:t>
      </w:r>
      <w:r w:rsidR="00480D0E">
        <w:t xml:space="preserve">layer to do resource selection. </w:t>
      </w:r>
      <w:r w:rsidR="0068734D">
        <w:t>MAC layer can reuse LTE V2X principle to randomly select the resource</w:t>
      </w:r>
      <w:r w:rsidR="0077757F">
        <w:t>s from the resource candidates set</w:t>
      </w:r>
      <w:r w:rsidR="0068734D">
        <w:t>.</w:t>
      </w:r>
    </w:p>
    <w:p w14:paraId="2C4DA1CF" w14:textId="68BA5A0A" w:rsidR="00D249B9" w:rsidRDefault="00D249B9" w:rsidP="00D64335">
      <w:pPr>
        <w:pStyle w:val="Heading3"/>
      </w:pPr>
      <w:r>
        <w:t>Time gap between initial transmission</w:t>
      </w:r>
      <w:r w:rsidR="00AB15B5">
        <w:t xml:space="preserve"> and retransmission</w:t>
      </w:r>
    </w:p>
    <w:p w14:paraId="39455419" w14:textId="722236CE" w:rsidR="00D249B9" w:rsidRDefault="0077757F" w:rsidP="00D249B9">
      <w:pPr>
        <w:jc w:val="both"/>
      </w:pPr>
      <w:r>
        <w:t xml:space="preserve">For blind retransmission or HARQ feedback retransmission, one resource is selected from the resource candidates set at time </w:t>
      </w:r>
      <w:r w:rsidRPr="0077757F">
        <w:rPr>
          <w:i/>
        </w:rPr>
        <w:t>k</w:t>
      </w:r>
      <w:r w:rsidRPr="0077757F">
        <w:rPr>
          <w:vertAlign w:val="subscript"/>
        </w:rPr>
        <w:t>0</w:t>
      </w:r>
      <w:r>
        <w:t xml:space="preserve">. Assume that maximum </w:t>
      </w:r>
      <w:r w:rsidRPr="0077757F">
        <w:rPr>
          <w:i/>
        </w:rPr>
        <w:t xml:space="preserve">M </w:t>
      </w:r>
      <w:r>
        <w:t xml:space="preserve">retransmissions are allowed, the resources of retransmission can be selected from the resource candidates set at time </w:t>
      </w:r>
      <w:r w:rsidRPr="0077757F">
        <w:rPr>
          <w:i/>
        </w:rPr>
        <w:t>k</w:t>
      </w:r>
      <w:r w:rsidRPr="0077757F">
        <w:rPr>
          <w:vertAlign w:val="subscript"/>
        </w:rPr>
        <w:t>1</w:t>
      </w:r>
      <w:r>
        <w:t xml:space="preserve">, </w:t>
      </w:r>
      <w:r w:rsidRPr="0077757F">
        <w:rPr>
          <w:i/>
        </w:rPr>
        <w:t>k</w:t>
      </w:r>
      <w:r w:rsidRPr="0077757F">
        <w:rPr>
          <w:vertAlign w:val="subscript"/>
        </w:rPr>
        <w:t>2</w:t>
      </w:r>
      <w:r>
        <w:t xml:space="preserve">, …, </w:t>
      </w:r>
      <w:r w:rsidRPr="0077757F">
        <w:rPr>
          <w:i/>
        </w:rPr>
        <w:t>k</w:t>
      </w:r>
      <w:r w:rsidRPr="0077757F">
        <w:rPr>
          <w:i/>
          <w:vertAlign w:val="subscript"/>
        </w:rPr>
        <w:t>M</w:t>
      </w:r>
      <w:r>
        <w:t xml:space="preserve">. </w:t>
      </w:r>
      <w:r w:rsidRPr="0077757F">
        <w:rPr>
          <w:i/>
        </w:rPr>
        <w:t>T</w:t>
      </w:r>
      <w:r w:rsidRPr="0077757F">
        <w:rPr>
          <w:i/>
          <w:vertAlign w:val="subscript"/>
        </w:rPr>
        <w:t>max</w:t>
      </w:r>
      <w:r>
        <w:t xml:space="preserve"> and </w:t>
      </w:r>
      <w:r w:rsidRPr="0077757F">
        <w:rPr>
          <w:i/>
        </w:rPr>
        <w:t>T</w:t>
      </w:r>
      <w:r w:rsidRPr="0077757F">
        <w:rPr>
          <w:i/>
          <w:vertAlign w:val="subscript"/>
        </w:rPr>
        <w:t>min</w:t>
      </w:r>
      <w:r>
        <w:t xml:space="preserve"> are denoted as the maximum and the minimum required time gaps, which are configured by gNB or preconfigured. In LTE V2X, </w:t>
      </w:r>
      <w:r w:rsidRPr="0077757F">
        <w:rPr>
          <w:i/>
        </w:rPr>
        <w:t>T</w:t>
      </w:r>
      <w:r w:rsidRPr="0077757F">
        <w:rPr>
          <w:i/>
          <w:vertAlign w:val="subscript"/>
        </w:rPr>
        <w:t>max</w:t>
      </w:r>
      <w:r>
        <w:t xml:space="preserve"> is related to the maximum supported bit width in SCI field and set as 15. In NR V2X, the value of </w:t>
      </w:r>
      <w:r w:rsidRPr="0077757F">
        <w:rPr>
          <w:i/>
        </w:rPr>
        <w:t>T</w:t>
      </w:r>
      <w:r w:rsidRPr="0077757F">
        <w:rPr>
          <w:i/>
          <w:vertAlign w:val="subscript"/>
        </w:rPr>
        <w:t>max</w:t>
      </w:r>
      <w:r>
        <w:t xml:space="preserve"> can be chosen by considering latency requirements of different services. </w:t>
      </w:r>
      <w:r w:rsidRPr="0077757F">
        <w:rPr>
          <w:i/>
        </w:rPr>
        <w:t>T</w:t>
      </w:r>
      <w:r w:rsidRPr="0077757F">
        <w:rPr>
          <w:i/>
          <w:vertAlign w:val="subscript"/>
        </w:rPr>
        <w:t>min</w:t>
      </w:r>
      <w:r>
        <w:t xml:space="preserve"> is related to Tx/Rx UE processing time for HARQ retransmission. In LTE V2X, only blind retransmission (no HARQ retransmission) is supported and then </w:t>
      </w:r>
      <w:r w:rsidRPr="0077757F">
        <w:rPr>
          <w:i/>
        </w:rPr>
        <w:t>T</w:t>
      </w:r>
      <w:r w:rsidRPr="0077757F">
        <w:rPr>
          <w:i/>
          <w:vertAlign w:val="subscript"/>
        </w:rPr>
        <w:t>min</w:t>
      </w:r>
      <w:r w:rsidRPr="0077757F">
        <w:t xml:space="preserve"> can </w:t>
      </w:r>
      <w:r>
        <w:t xml:space="preserve">be set as 0. The time indices </w:t>
      </w:r>
      <w:r w:rsidRPr="0077757F">
        <w:rPr>
          <w:i/>
        </w:rPr>
        <w:t>k</w:t>
      </w:r>
      <w:r>
        <w:rPr>
          <w:vertAlign w:val="subscript"/>
        </w:rPr>
        <w:t>0</w:t>
      </w:r>
      <w:r>
        <w:t xml:space="preserve">, </w:t>
      </w:r>
      <w:r w:rsidRPr="0077757F">
        <w:rPr>
          <w:i/>
        </w:rPr>
        <w:t>k</w:t>
      </w:r>
      <w:r w:rsidRPr="0077757F">
        <w:rPr>
          <w:vertAlign w:val="subscript"/>
        </w:rPr>
        <w:t>1</w:t>
      </w:r>
      <w:r>
        <w:t xml:space="preserve">, </w:t>
      </w:r>
      <w:r w:rsidRPr="0077757F">
        <w:rPr>
          <w:i/>
        </w:rPr>
        <w:t>k</w:t>
      </w:r>
      <w:r w:rsidRPr="0077757F">
        <w:rPr>
          <w:vertAlign w:val="subscript"/>
        </w:rPr>
        <w:t>2</w:t>
      </w:r>
      <w:r>
        <w:t xml:space="preserve">, …, </w:t>
      </w:r>
      <w:r w:rsidRPr="0077757F">
        <w:rPr>
          <w:i/>
        </w:rPr>
        <w:t>k</w:t>
      </w:r>
      <w:r w:rsidRPr="0077757F">
        <w:rPr>
          <w:i/>
          <w:vertAlign w:val="subscript"/>
        </w:rPr>
        <w:t>M</w:t>
      </w:r>
      <w:r>
        <w:t xml:space="preserve"> should meet the criterion</w:t>
      </w:r>
    </w:p>
    <w:p w14:paraId="72EC2E8F" w14:textId="18B4FB87" w:rsidR="0077757F" w:rsidRDefault="0077757F" w:rsidP="0077757F">
      <w:pPr>
        <w:jc w:val="center"/>
      </w:pPr>
      <m:oMathPara>
        <m:oMath>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max</m:t>
              </m:r>
            </m:sub>
          </m:sSub>
          <m:r>
            <m:rPr>
              <m:sty m:val="p"/>
            </m:rPr>
            <w:rPr>
              <w:rFonts w:ascii="Cambria Math" w:hAnsi="Cambria Math"/>
            </w:rPr>
            <m:t> and</m:t>
          </m:r>
          <m:r>
            <w:rPr>
              <w:rFonts w:ascii="Cambria Math" w:hAnsi="Cambria Math"/>
            </w:rPr>
            <m:t> k∉</m:t>
          </m:r>
          <m:nary>
            <m:naryPr>
              <m:chr m:val="⋃"/>
              <m:ctrlPr>
                <w:rPr>
                  <w:rFonts w:ascii="Cambria Math" w:hAnsi="Cambria Math"/>
                  <w:i/>
                  <w:iCs/>
                </w:rPr>
              </m:ctrlPr>
            </m:naryPr>
            <m:sub>
              <m:r>
                <w:rPr>
                  <w:rFonts w:ascii="Cambria Math" w:hAnsi="Cambria Math"/>
                </w:rPr>
                <m:t>i=0</m:t>
              </m:r>
            </m:sub>
            <m:sup>
              <m:r>
                <w:rPr>
                  <w:rFonts w:ascii="Cambria Math" w:hAnsi="Cambria Math"/>
                </w:rPr>
                <m:t>M-1</m:t>
              </m:r>
            </m:sup>
            <m:e>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min</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min</m:t>
                  </m:r>
                </m:sub>
              </m:sSub>
              <m:r>
                <w:rPr>
                  <w:rFonts w:ascii="Cambria Math" w:hAnsi="Cambria Math"/>
                </w:rPr>
                <m:t>]</m:t>
              </m:r>
            </m:e>
          </m:nary>
        </m:oMath>
      </m:oMathPara>
    </w:p>
    <w:p w14:paraId="74C252ED" w14:textId="145E1445" w:rsidR="0077757F" w:rsidRPr="0077757F" w:rsidRDefault="0077757F" w:rsidP="00D249B9">
      <w:pPr>
        <w:jc w:val="both"/>
      </w:pPr>
      <w:r>
        <w:t xml:space="preserve">and sort in increasing order to form new time indices </w:t>
      </w:r>
      <w:r w:rsidRPr="0077757F">
        <w:rPr>
          <w:i/>
        </w:rPr>
        <w:t>k</w:t>
      </w:r>
      <w:r>
        <w:rPr>
          <w:i/>
        </w:rPr>
        <w:t>’</w:t>
      </w:r>
      <w:r>
        <w:rPr>
          <w:vertAlign w:val="subscript"/>
        </w:rPr>
        <w:t>0</w:t>
      </w:r>
      <w:r>
        <w:t xml:space="preserve">, </w:t>
      </w:r>
      <w:r w:rsidRPr="0077757F">
        <w:rPr>
          <w:i/>
        </w:rPr>
        <w:t>k</w:t>
      </w:r>
      <w:r>
        <w:rPr>
          <w:i/>
        </w:rPr>
        <w:t>’</w:t>
      </w:r>
      <w:r w:rsidRPr="0077757F">
        <w:rPr>
          <w:vertAlign w:val="subscript"/>
        </w:rPr>
        <w:t>1</w:t>
      </w:r>
      <w:r>
        <w:t xml:space="preserve">, </w:t>
      </w:r>
      <w:r w:rsidRPr="0077757F">
        <w:rPr>
          <w:i/>
        </w:rPr>
        <w:t>k</w:t>
      </w:r>
      <w:r>
        <w:rPr>
          <w:i/>
        </w:rPr>
        <w:t>’</w:t>
      </w:r>
      <w:r w:rsidRPr="0077757F">
        <w:rPr>
          <w:vertAlign w:val="subscript"/>
        </w:rPr>
        <w:t>2</w:t>
      </w:r>
      <w:r>
        <w:t xml:space="preserve">, …, </w:t>
      </w:r>
      <w:r w:rsidRPr="0077757F">
        <w:rPr>
          <w:i/>
        </w:rPr>
        <w:t>k</w:t>
      </w:r>
      <w:r>
        <w:rPr>
          <w:i/>
        </w:rPr>
        <w:t>’</w:t>
      </w:r>
      <w:r w:rsidRPr="0077757F">
        <w:rPr>
          <w:i/>
          <w:vertAlign w:val="subscript"/>
        </w:rPr>
        <w:t>M</w:t>
      </w:r>
      <w:r>
        <w:rPr>
          <w:i/>
        </w:rPr>
        <w:t xml:space="preserve">. </w:t>
      </w:r>
      <w:r>
        <w:t xml:space="preserve">Then the data is transmitted at time index </w:t>
      </w:r>
      <w:r w:rsidRPr="0077757F">
        <w:rPr>
          <w:i/>
        </w:rPr>
        <w:t>k’</w:t>
      </w:r>
      <w:r w:rsidRPr="0077757F">
        <w:rPr>
          <w:i/>
          <w:vertAlign w:val="subscript"/>
        </w:rPr>
        <w:t>i</w:t>
      </w:r>
      <w:r>
        <w:t xml:space="preserve">. </w:t>
      </w:r>
    </w:p>
    <w:p w14:paraId="33B82204" w14:textId="7D8F9263" w:rsidR="00D249B9" w:rsidRDefault="00D249B9" w:rsidP="00D249B9">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18</w:t>
      </w:r>
      <w:r w:rsidRPr="000F17D2">
        <w:rPr>
          <w:b/>
          <w:u w:val="single"/>
        </w:rPr>
        <w:fldChar w:fldCharType="end"/>
      </w:r>
      <w:r w:rsidRPr="00B0488D">
        <w:t xml:space="preserve">: </w:t>
      </w:r>
      <w:r w:rsidR="0077757F">
        <w:t>Resource selection procedure should consider maximum number of HARQ retransmissions and latency requirements.</w:t>
      </w:r>
    </w:p>
    <w:p w14:paraId="023C507F" w14:textId="5856817C" w:rsidR="00F547F5" w:rsidRDefault="00F547F5" w:rsidP="00D64335">
      <w:pPr>
        <w:pStyle w:val="Heading3"/>
      </w:pPr>
      <w:r>
        <w:t>Zone ID based resource selection</w:t>
      </w:r>
    </w:p>
    <w:p w14:paraId="410F4543" w14:textId="546B53EC" w:rsidR="0039723F" w:rsidRDefault="00B40B2D" w:rsidP="0039723F">
      <w:pPr>
        <w:jc w:val="both"/>
      </w:pPr>
      <w:r>
        <w:t>In RAN2 #106 meeting, an LS was sent to RAN1 for asking whether resource pool configuration based on zone is considered be</w:t>
      </w:r>
      <w:r w:rsidR="0008761F">
        <w:t>neficial to support in NR V2X [7</w:t>
      </w:r>
      <w:r>
        <w:t>]. In LTE V2X, zone ID based resource pool configuration is proposed to solve IBE (In-</w:t>
      </w:r>
      <w:r>
        <w:lastRenderedPageBreak/>
        <w:t xml:space="preserve">Band Emission) problem, enhance system capacity by resource reuse, and reduce resource collision probability as well as interference. </w:t>
      </w:r>
      <w:r w:rsidR="0039723F">
        <w:t xml:space="preserve">However, sensing and resource selection procedures in Mode 1 and Mode 2 can effectively reduce interference, resource collision probability and inherently have spatial resource reuse capability. Furthermore, to segment a resource pool into several subsets would degrade the trunk efficiency. </w:t>
      </w:r>
    </w:p>
    <w:p w14:paraId="2546B417" w14:textId="19109466" w:rsidR="00F81A7F" w:rsidRDefault="0039723F" w:rsidP="00B40B2D">
      <w:pPr>
        <w:jc w:val="both"/>
      </w:pPr>
      <w:r>
        <w:t>In</w:t>
      </w:r>
      <w:r w:rsidR="00B40B2D">
        <w:t xml:space="preserve"> Fig. </w:t>
      </w:r>
      <w:r w:rsidR="0008761F">
        <w:t>2</w:t>
      </w:r>
      <w:r w:rsidR="00B40B2D">
        <w:t xml:space="preserve">, PRR performance comparison with/without IBE effect with/without zone ID under highway scenario is shown. </w:t>
      </w:r>
      <w:r>
        <w:t>T</w:t>
      </w:r>
      <w:r w:rsidR="00B40B2D">
        <w:t xml:space="preserve">he PRR performance </w:t>
      </w:r>
      <w:r>
        <w:t xml:space="preserve">with zone ID is worse than that without zone ID. In other words, zone ID introduces degradation due to less trunk efficiency. </w:t>
      </w:r>
    </w:p>
    <w:p w14:paraId="1B51AF35" w14:textId="0323BBC5" w:rsidR="00B40B2D" w:rsidRDefault="00F81A7F" w:rsidP="00B40B2D">
      <w:pPr>
        <w:jc w:val="both"/>
      </w:pPr>
      <w:r>
        <w:t xml:space="preserve">Based on the above analysis and simulation results, it is obvious that </w:t>
      </w:r>
      <w:r w:rsidR="0039723F">
        <w:t>zone ID based resource pool configuration cannot provide any benefit for PRR performance.</w:t>
      </w:r>
    </w:p>
    <w:p w14:paraId="27BB3EB3" w14:textId="06608205" w:rsidR="00B40B2D" w:rsidRDefault="00B40B2D" w:rsidP="00B40B2D">
      <w:pPr>
        <w:pStyle w:val="Caption"/>
      </w:pPr>
      <w:r w:rsidRPr="00B40B2D">
        <w:rPr>
          <w:u w:val="single"/>
        </w:rPr>
        <w:t xml:space="preserve">Observation </w:t>
      </w:r>
      <w:r w:rsidRPr="00B40B2D">
        <w:rPr>
          <w:u w:val="single"/>
        </w:rPr>
        <w:fldChar w:fldCharType="begin"/>
      </w:r>
      <w:r w:rsidRPr="00B40B2D">
        <w:rPr>
          <w:u w:val="single"/>
        </w:rPr>
        <w:instrText xml:space="preserve"> SEQ Observation_1 \* ARABIC </w:instrText>
      </w:r>
      <w:r w:rsidRPr="00B40B2D">
        <w:rPr>
          <w:u w:val="single"/>
        </w:rPr>
        <w:fldChar w:fldCharType="separate"/>
      </w:r>
      <w:r w:rsidR="00810164">
        <w:rPr>
          <w:noProof/>
          <w:u w:val="single"/>
        </w:rPr>
        <w:t>1</w:t>
      </w:r>
      <w:r w:rsidRPr="00B40B2D">
        <w:rPr>
          <w:u w:val="single"/>
        </w:rPr>
        <w:fldChar w:fldCharType="end"/>
      </w:r>
      <w:r>
        <w:t xml:space="preserve">: </w:t>
      </w:r>
      <w:r w:rsidRPr="00B40B2D">
        <w:rPr>
          <w:b w:val="0"/>
        </w:rPr>
        <w:t>Zone ID cannot effectively mitigate IBE problem.</w:t>
      </w:r>
    </w:p>
    <w:p w14:paraId="55612694" w14:textId="77777777" w:rsidR="00B40B2D" w:rsidRDefault="00B40B2D" w:rsidP="00B40B2D">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19</w:t>
      </w:r>
      <w:r w:rsidRPr="000F17D2">
        <w:rPr>
          <w:b/>
          <w:u w:val="single"/>
        </w:rPr>
        <w:fldChar w:fldCharType="end"/>
      </w:r>
      <w:r w:rsidRPr="00B0488D">
        <w:t xml:space="preserve">: </w:t>
      </w:r>
      <w:r>
        <w:t xml:space="preserve">IBE problem should be considered in NR V2X. </w:t>
      </w:r>
    </w:p>
    <w:p w14:paraId="1A3E842C" w14:textId="3D848202" w:rsidR="00BD5F3A" w:rsidRDefault="00B40B2D"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20</w:t>
      </w:r>
      <w:r w:rsidRPr="000F17D2">
        <w:rPr>
          <w:b/>
          <w:u w:val="single"/>
        </w:rPr>
        <w:fldChar w:fldCharType="end"/>
      </w:r>
      <w:r w:rsidRPr="00B0488D">
        <w:t xml:space="preserve">: </w:t>
      </w:r>
      <w:r>
        <w:t xml:space="preserve">Send LS </w:t>
      </w:r>
      <w:r w:rsidR="00810164">
        <w:t xml:space="preserve">reply </w:t>
      </w:r>
      <w:r>
        <w:t xml:space="preserve">to RAN2 that zone ID based resource pool configuration cannot provide any benefit from RAN1 perspective. </w:t>
      </w:r>
    </w:p>
    <w:p w14:paraId="0E7B9025" w14:textId="77777777" w:rsidR="00BD5F3A" w:rsidRDefault="00BD5F3A" w:rsidP="00BD5F3A">
      <w:pPr>
        <w:jc w:val="center"/>
      </w:pPr>
      <w:r w:rsidRPr="00183B85">
        <w:rPr>
          <w:noProof/>
          <w:lang w:eastAsia="zh-TW"/>
        </w:rPr>
        <w:drawing>
          <wp:inline distT="0" distB="0" distL="0" distR="0" wp14:anchorId="2DA0A752" wp14:editId="073FC963">
            <wp:extent cx="3202267" cy="2576945"/>
            <wp:effectExtent l="0" t="0" r="0" b="0"/>
            <wp:docPr id="3" name="Picture 3" descr="D:\Doc\5G\ppt\CSD\NR V2X\tdoc\R1_97\Screen Shot 05-02-19 at 02.10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5G\ppt\CSD\NR V2X\tdoc\R1_97\Screen Shot 05-02-19 at 02.10 PM.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19699" cy="2590973"/>
                    </a:xfrm>
                    <a:prstGeom prst="rect">
                      <a:avLst/>
                    </a:prstGeom>
                    <a:noFill/>
                    <a:ln>
                      <a:noFill/>
                    </a:ln>
                    <a:effectLst/>
                  </pic:spPr>
                </pic:pic>
              </a:graphicData>
            </a:graphic>
          </wp:inline>
        </w:drawing>
      </w:r>
    </w:p>
    <w:p w14:paraId="35558A1F" w14:textId="410FE815" w:rsidR="00BD5F3A" w:rsidRDefault="00BD5F3A" w:rsidP="00BD5F3A">
      <w:pPr>
        <w:jc w:val="center"/>
      </w:pPr>
      <w:r w:rsidRPr="0068734D">
        <w:rPr>
          <w:b/>
        </w:rPr>
        <w:t xml:space="preserve">Figure </w:t>
      </w:r>
      <w:r w:rsidR="00073410">
        <w:rPr>
          <w:b/>
        </w:rPr>
        <w:t>2</w:t>
      </w:r>
      <w:r>
        <w:t xml:space="preserve">. PRR performance with/without IBE effect with/without zone ID. </w:t>
      </w:r>
    </w:p>
    <w:p w14:paraId="0DA0623D" w14:textId="5F317270" w:rsidR="00196D9F" w:rsidRDefault="00196D9F" w:rsidP="00D64335">
      <w:pPr>
        <w:pStyle w:val="Heading3"/>
      </w:pPr>
      <w:r>
        <w:t>IBE problem</w:t>
      </w:r>
    </w:p>
    <w:p w14:paraId="6BD5E144" w14:textId="71876FBF" w:rsidR="0068734D" w:rsidRDefault="0068734D" w:rsidP="0068734D">
      <w:pPr>
        <w:jc w:val="both"/>
      </w:pPr>
      <w:r>
        <w:t>One of NR V2X requirement is to support high connection d</w:t>
      </w:r>
      <w:r w:rsidR="0008761F">
        <w:t>ensity for congested traffics [5</w:t>
      </w:r>
      <w:r>
        <w:t xml:space="preserve">]. One example for worst case is 3100 to 4300 cars per square kilometer. The connection density in NR V2X is higher than that in LTE V2X and thus LTE V2X resource selection method </w:t>
      </w:r>
      <w:r w:rsidR="00744230">
        <w:t xml:space="preserve">needs to </w:t>
      </w:r>
      <w:r>
        <w:t>be modified.</w:t>
      </w:r>
    </w:p>
    <w:p w14:paraId="6A0D66A6" w14:textId="149625AD" w:rsidR="0068734D" w:rsidRDefault="00480D0E" w:rsidP="00AA6DF3">
      <w:pPr>
        <w:jc w:val="both"/>
      </w:pPr>
      <w:r>
        <w:t>IBE would impact the system performance, if two near-far UEs use adjacent resource. In LTE V2X, IBE might not be a problem with sparse traffic. However, IBE influence would be significant in NR V2X congested traffic case because two near-far UEs have higher probability to be allocated with adjacent resource.</w:t>
      </w:r>
      <w:r w:rsidR="00744230">
        <w:t xml:space="preserve"> In LTE V2X, zone ID is introduced to mitigate the IBE problem. We conduct some simulations to evaluate whether the IBE problem is mitigated by zone ID. The simulation is based on the assumption of broadcast simulation profile in TR 38.885 [</w:t>
      </w:r>
      <w:r w:rsidR="0008761F">
        <w:t>6</w:t>
      </w:r>
      <w:r w:rsidR="00744230">
        <w:t>].</w:t>
      </w:r>
      <w:r>
        <w:t xml:space="preserve"> </w:t>
      </w:r>
      <w:r w:rsidR="0068734D">
        <w:t>In Fig. 1, PRR performance comparison with</w:t>
      </w:r>
      <w:r w:rsidR="00744230">
        <w:t>/</w:t>
      </w:r>
      <w:r w:rsidR="0068734D">
        <w:t xml:space="preserve">without IBE effect </w:t>
      </w:r>
      <w:r w:rsidR="00744230">
        <w:t xml:space="preserve">with/without zone ID </w:t>
      </w:r>
      <w:r w:rsidR="0068734D">
        <w:t xml:space="preserve">under </w:t>
      </w:r>
      <w:r w:rsidR="00744230">
        <w:t>highway</w:t>
      </w:r>
      <w:r w:rsidR="0068734D">
        <w:t xml:space="preserve"> scenario is shown. IBE would severely degrade the PRR performance</w:t>
      </w:r>
      <w:r w:rsidR="00744230">
        <w:t xml:space="preserve"> even the zone ID is applied</w:t>
      </w:r>
      <w:r w:rsidR="0068734D">
        <w:t xml:space="preserve"> and should be </w:t>
      </w:r>
      <w:r w:rsidR="000F17D2">
        <w:t>tackled</w:t>
      </w:r>
      <w:r w:rsidR="00B40B2D">
        <w:t xml:space="preserve"> as mentioned in previous subsection. Therefore, how to mitigate IBE problem should be discussed.</w:t>
      </w:r>
    </w:p>
    <w:p w14:paraId="696833C0" w14:textId="1C09A9F7" w:rsidR="00480D0E" w:rsidRDefault="00480D0E" w:rsidP="00AA6DF3">
      <w:pPr>
        <w:jc w:val="both"/>
      </w:pPr>
      <w:r>
        <w:lastRenderedPageBreak/>
        <w:t>One method to alleviate IBE problem is to allocate adjacent resource for two nearby UEs. Therefore, one weighting function can be provided with available resources and send to MAC layer. Higher weight is assigned to the resource near the occupied resource with smaller</w:t>
      </w:r>
      <w:r w:rsidR="00744230">
        <w:t xml:space="preserve"> SL-</w:t>
      </w:r>
      <w:r>
        <w:t>RSRP difference between UE and occupied resource.</w:t>
      </w:r>
    </w:p>
    <w:p w14:paraId="5A6A8BBC" w14:textId="147D9FEF" w:rsidR="00480D0E" w:rsidRDefault="001F74EC"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21</w:t>
      </w:r>
      <w:r w:rsidRPr="000F17D2">
        <w:rPr>
          <w:b/>
          <w:u w:val="single"/>
        </w:rPr>
        <w:fldChar w:fldCharType="end"/>
      </w:r>
      <w:r w:rsidR="00480D0E" w:rsidRPr="00B0488D">
        <w:t xml:space="preserve">: </w:t>
      </w:r>
      <w:r w:rsidR="00480D0E">
        <w:t xml:space="preserve">To alleviate IBE problem, two nearby UEs’ resources can be allocated adjacently. One weighting function can be introduced to resource selection </w:t>
      </w:r>
      <w:r w:rsidR="00A74F47">
        <w:t xml:space="preserve">procedure </w:t>
      </w:r>
      <w:r w:rsidR="00480D0E">
        <w:t>to indicate</w:t>
      </w:r>
      <w:r w:rsidR="00744230">
        <w:t xml:space="preserve"> SL-</w:t>
      </w:r>
      <w:r w:rsidR="00480D0E">
        <w:t>RSRP difference between UE and occupied resource.</w:t>
      </w:r>
    </w:p>
    <w:p w14:paraId="4D02F81C" w14:textId="77777777" w:rsidR="004918D2" w:rsidRDefault="004918D2" w:rsidP="00D64335">
      <w:pPr>
        <w:pStyle w:val="Heading2"/>
      </w:pPr>
      <w:r>
        <w:t>Resource reselection</w:t>
      </w:r>
    </w:p>
    <w:p w14:paraId="05F5181A" w14:textId="7CA4AAF3" w:rsidR="004918D2" w:rsidRDefault="004918D2" w:rsidP="004918D2">
      <w:pPr>
        <w:jc w:val="both"/>
      </w:pPr>
      <w:r w:rsidRPr="003711FF">
        <w:t>In order to prevent</w:t>
      </w:r>
      <w:r>
        <w:t xml:space="preserve"> continuous overlapping resource utilization between two UEs, resource should be reselect</w:t>
      </w:r>
      <w:r w:rsidR="00745423">
        <w:t>ed</w:t>
      </w:r>
      <w:r>
        <w:t xml:space="preserve"> after some (pre-)configured time. This reselection mechanism can reuse that of LTE V2X. Set a counter/timer to a (pre-)configured value and a (pre-)configured probability </w:t>
      </w:r>
      <w:r w:rsidRPr="000F17D2">
        <w:rPr>
          <w:i/>
        </w:rPr>
        <w:t>p</w:t>
      </w:r>
      <w:r>
        <w:t xml:space="preserve">. With probability </w:t>
      </w:r>
      <w:r w:rsidRPr="000F17D2">
        <w:rPr>
          <w:i/>
        </w:rPr>
        <w:t>p</w:t>
      </w:r>
      <w:r>
        <w:t>, the UE keeps the current resource selection and reset the counter/timer. With probability 1-</w:t>
      </w:r>
      <w:r w:rsidRPr="000F17D2">
        <w:rPr>
          <w:i/>
        </w:rPr>
        <w:t>p</w:t>
      </w:r>
      <w:r>
        <w:t xml:space="preserve">, the UE should reselect the resource. </w:t>
      </w:r>
    </w:p>
    <w:p w14:paraId="26AA4D54" w14:textId="5175C25C" w:rsidR="004918D2" w:rsidRDefault="004918D2" w:rsidP="004918D2">
      <w:pPr>
        <w:jc w:val="both"/>
      </w:pPr>
      <w:r>
        <w:t>Since the collision might happen when two or more UEs reselect resource at the same slot</w:t>
      </w:r>
      <w:r w:rsidR="003711FF">
        <w:t>s</w:t>
      </w:r>
      <w:r>
        <w:t xml:space="preserve"> or similar selection window, it would be better to let different UEs choose different time slots or selection windows to reselect resource. When a UE decides to reselect resource, this UE should announce the resource reselection timing at a random timing before the counter/timer expired. This UE should also monitor how many UEs announced to reselect resource in the time slot</w:t>
      </w:r>
      <w:r w:rsidR="003711FF">
        <w:t>s</w:t>
      </w:r>
      <w:r>
        <w:t xml:space="preserve"> or selection window. If the number of announced UEs is larger than a threshold, this UE should shift the selection timing and check till the number of announced UEs is less than </w:t>
      </w:r>
      <w:r w:rsidR="003711FF">
        <w:t>a</w:t>
      </w:r>
      <w:r>
        <w:t xml:space="preserve"> threshold. The threshold can be a fixed or (pre-)configured value or depend on the channel busy ratio or the ratio of occupied resource in selection window with a (pre-)configured SL-RSRP threshold. During the checking duration, this UE can keep the current resource. </w:t>
      </w:r>
    </w:p>
    <w:p w14:paraId="40F3132F" w14:textId="393ED9BB" w:rsidR="00CE5C4C" w:rsidRPr="00073410" w:rsidRDefault="004918D2" w:rsidP="00CE5C4C">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10164">
        <w:rPr>
          <w:b/>
          <w:noProof/>
          <w:u w:val="single"/>
        </w:rPr>
        <w:t>22</w:t>
      </w:r>
      <w:r w:rsidRPr="000F17D2">
        <w:rPr>
          <w:b/>
          <w:u w:val="single"/>
        </w:rPr>
        <w:fldChar w:fldCharType="end"/>
      </w:r>
      <w:r w:rsidRPr="00B0488D">
        <w:t xml:space="preserve">: </w:t>
      </w:r>
      <w:r w:rsidR="003711FF">
        <w:t>Before resource reselection, a</w:t>
      </w:r>
      <w:r>
        <w:t xml:space="preserve"> UE should announce the resource reselection timing and monitor the number of announced UEs to avoid possible collision.</w:t>
      </w:r>
      <w:r w:rsidR="00323521">
        <w:rPr>
          <w:rFonts w:eastAsiaTheme="minorEastAsia"/>
          <w:lang w:val="en-GB" w:eastAsia="zh-TW"/>
        </w:rPr>
        <w:t xml:space="preserve"> </w:t>
      </w:r>
    </w:p>
    <w:p w14:paraId="23611505" w14:textId="77777777" w:rsidR="00373024" w:rsidRDefault="00373024" w:rsidP="00373024">
      <w:pPr>
        <w:pStyle w:val="Heading1"/>
        <w:rPr>
          <w:rFonts w:eastAsia="新細明體"/>
          <w:lang w:eastAsia="zh-TW"/>
        </w:rPr>
      </w:pPr>
      <w:r>
        <w:rPr>
          <w:rFonts w:eastAsia="新細明體"/>
          <w:lang w:eastAsia="zh-TW"/>
        </w:rPr>
        <w:t>Conclusion</w:t>
      </w:r>
    </w:p>
    <w:p w14:paraId="5E7016B0" w14:textId="4AEE268D" w:rsidR="00F17D8A" w:rsidRDefault="00F17D8A" w:rsidP="00F17D8A">
      <w:pPr>
        <w:jc w:val="both"/>
        <w:rPr>
          <w:lang w:val="en-GB" w:eastAsia="zh-CN"/>
        </w:rPr>
      </w:pPr>
      <w:r w:rsidRPr="00B04778">
        <w:rPr>
          <w:lang w:val="en-GB" w:eastAsia="zh-CN"/>
        </w:rPr>
        <w:t xml:space="preserve">The following summarizes the </w:t>
      </w:r>
      <w:r w:rsidR="004918D2">
        <w:rPr>
          <w:lang w:val="en-GB" w:eastAsia="zh-CN"/>
        </w:rPr>
        <w:t xml:space="preserve">observation and </w:t>
      </w:r>
      <w:r w:rsidRPr="00B04778">
        <w:rPr>
          <w:lang w:val="en-GB" w:eastAsia="zh-CN"/>
        </w:rPr>
        <w:t>proposals in this contribution.</w:t>
      </w:r>
    </w:p>
    <w:p w14:paraId="2D49D188" w14:textId="600F39A4" w:rsidR="004918D2" w:rsidRDefault="004918D2" w:rsidP="004918D2">
      <w:pPr>
        <w:jc w:val="both"/>
      </w:pPr>
      <w:r w:rsidRPr="00744230">
        <w:rPr>
          <w:b/>
          <w:u w:val="single"/>
        </w:rPr>
        <w:t>Observation 1</w:t>
      </w:r>
      <w:r w:rsidRPr="003711FF">
        <w:t xml:space="preserve">: </w:t>
      </w:r>
      <w:r w:rsidR="003711FF" w:rsidRPr="003711FF">
        <w:t>Zone ID cannot effectively mitigate IBE problem.</w:t>
      </w:r>
    </w:p>
    <w:p w14:paraId="651671B4" w14:textId="4CC930D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Pr="00B0488D">
        <w:t xml:space="preserve">: </w:t>
      </w:r>
      <w:r w:rsidR="003711FF">
        <w:t>Initial transmission and retransmission can have different frequency resource allocation.</w:t>
      </w:r>
    </w:p>
    <w:p w14:paraId="2914EF24" w14:textId="0E70922B"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2</w:t>
      </w:r>
      <w:r w:rsidRPr="00B0488D">
        <w:t xml:space="preserve">: </w:t>
      </w:r>
      <w:r w:rsidR="003711FF">
        <w:t>Chain-based resource reservation is supported for blind retransmission in NR V2X.</w:t>
      </w:r>
      <w:r>
        <w:t xml:space="preserve"> </w:t>
      </w:r>
    </w:p>
    <w:p w14:paraId="23270F5F" w14:textId="443CF542"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3</w:t>
      </w:r>
      <w:r w:rsidRPr="00B0488D">
        <w:t xml:space="preserve">: </w:t>
      </w:r>
      <w:r w:rsidR="00803863">
        <w:t xml:space="preserve">Other </w:t>
      </w:r>
      <w:r w:rsidR="003711FF">
        <w:t>UE</w:t>
      </w:r>
      <w:r w:rsidR="00803863">
        <w:t>s</w:t>
      </w:r>
      <w:r w:rsidR="003711FF">
        <w:t xml:space="preserve"> can </w:t>
      </w:r>
      <w:r w:rsidR="00803863">
        <w:t xml:space="preserve">monitor </w:t>
      </w:r>
      <w:r w:rsidR="003711FF">
        <w:t xml:space="preserve">the ACK information to use the reserved HARQ retransmission resource without specification impact. It </w:t>
      </w:r>
      <w:r w:rsidR="00803863">
        <w:t>is up to</w:t>
      </w:r>
      <w:r w:rsidR="003711FF">
        <w:t xml:space="preserve"> UE implementation.</w:t>
      </w:r>
    </w:p>
    <w:p w14:paraId="7417CC17" w14:textId="79F3BF12"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4</w:t>
      </w:r>
      <w:r w:rsidRPr="00B0488D">
        <w:t xml:space="preserve">: </w:t>
      </w:r>
      <w:r w:rsidR="003711FF">
        <w:t>Frequency resource allocation of the reservation of HARQ retransmission can be different to that of current or initial transmission.</w:t>
      </w:r>
    </w:p>
    <w:p w14:paraId="4964C2F6" w14:textId="1D7C7C22"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5</w:t>
      </w:r>
      <w:r w:rsidRPr="00B0488D">
        <w:t xml:space="preserve">: </w:t>
      </w:r>
      <w:r w:rsidR="003711FF">
        <w:t>Frequency resource allocation of the resource reservation of next TB transmission can be the same as that of current transmission.</w:t>
      </w:r>
    </w:p>
    <w:p w14:paraId="1D4E7F51" w14:textId="7807CC45"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6</w:t>
      </w:r>
      <w:r w:rsidRPr="00B0488D">
        <w:t xml:space="preserve">: </w:t>
      </w:r>
      <w:r w:rsidR="003711FF">
        <w:t>Standalone PSCCH is not supported.</w:t>
      </w:r>
    </w:p>
    <w:p w14:paraId="4AC35FA5" w14:textId="087F839C" w:rsidR="00403001" w:rsidRDefault="00403001" w:rsidP="002022BB">
      <w:pPr>
        <w:jc w:val="both"/>
      </w:pPr>
      <w:r w:rsidRPr="00B0488D">
        <w:rPr>
          <w:rFonts w:eastAsia="新細明體"/>
          <w:b/>
          <w:u w:val="single"/>
          <w:lang w:eastAsia="zh-TW"/>
        </w:rPr>
        <w:t xml:space="preserve">Proposal </w:t>
      </w:r>
      <w:r>
        <w:rPr>
          <w:rFonts w:eastAsia="新細明體"/>
          <w:b/>
          <w:u w:val="single"/>
          <w:lang w:eastAsia="zh-TW"/>
        </w:rPr>
        <w:t>7</w:t>
      </w:r>
      <w:r w:rsidRPr="00B0488D">
        <w:t xml:space="preserve">: </w:t>
      </w:r>
      <w:r>
        <w:t>Resource pre-reservation of initial transmission is not supported.</w:t>
      </w:r>
    </w:p>
    <w:p w14:paraId="5ECD5181" w14:textId="5CB8DC78" w:rsidR="002022BB" w:rsidRDefault="002022BB" w:rsidP="002022BB">
      <w:pPr>
        <w:jc w:val="both"/>
      </w:pPr>
      <w:r w:rsidRPr="00B0488D">
        <w:rPr>
          <w:rFonts w:eastAsia="新細明體"/>
          <w:b/>
          <w:u w:val="single"/>
          <w:lang w:eastAsia="zh-TW"/>
        </w:rPr>
        <w:t xml:space="preserve">Proposal </w:t>
      </w:r>
      <w:r w:rsidR="00403001">
        <w:rPr>
          <w:rFonts w:eastAsia="新細明體"/>
          <w:b/>
          <w:u w:val="single"/>
          <w:lang w:eastAsia="zh-TW"/>
        </w:rPr>
        <w:t>8</w:t>
      </w:r>
      <w:r w:rsidRPr="00B0488D">
        <w:t xml:space="preserve">: </w:t>
      </w:r>
      <w:r w:rsidR="003711FF">
        <w:t>Sensing window as in LTE V2X is supported in NR V2X and the width of sensing window is 1 sec.</w:t>
      </w:r>
    </w:p>
    <w:p w14:paraId="098E940B" w14:textId="77D54A95" w:rsidR="002022BB" w:rsidRDefault="002022BB" w:rsidP="002022BB">
      <w:pPr>
        <w:jc w:val="both"/>
      </w:pPr>
      <w:r w:rsidRPr="00B0488D">
        <w:rPr>
          <w:rFonts w:eastAsia="新細明體"/>
          <w:b/>
          <w:u w:val="single"/>
          <w:lang w:eastAsia="zh-TW"/>
        </w:rPr>
        <w:t xml:space="preserve">Proposal </w:t>
      </w:r>
      <w:r w:rsidR="00403001">
        <w:rPr>
          <w:rFonts w:eastAsia="新細明體"/>
          <w:b/>
          <w:u w:val="single"/>
          <w:lang w:eastAsia="zh-TW"/>
        </w:rPr>
        <w:t>9</w:t>
      </w:r>
      <w:r w:rsidRPr="00B0488D">
        <w:t xml:space="preserve">: </w:t>
      </w:r>
      <w:r w:rsidR="006E25F2">
        <w:t>In resource selection window, T1 value is measured in slot level.</w:t>
      </w:r>
    </w:p>
    <w:p w14:paraId="3DD22FE8" w14:textId="4B137FA7" w:rsidR="002022BB" w:rsidRDefault="002022BB" w:rsidP="002022BB">
      <w:pPr>
        <w:jc w:val="both"/>
      </w:pPr>
      <w:r w:rsidRPr="00B0488D">
        <w:rPr>
          <w:rFonts w:eastAsia="新細明體"/>
          <w:b/>
          <w:u w:val="single"/>
          <w:lang w:eastAsia="zh-TW"/>
        </w:rPr>
        <w:lastRenderedPageBreak/>
        <w:t xml:space="preserve">Proposal </w:t>
      </w:r>
      <w:r w:rsidR="00403001">
        <w:rPr>
          <w:rFonts w:eastAsia="新細明體"/>
          <w:b/>
          <w:u w:val="single"/>
          <w:lang w:eastAsia="zh-TW"/>
        </w:rPr>
        <w:t>10</w:t>
      </w:r>
      <w:r w:rsidRPr="00B0488D">
        <w:t xml:space="preserve">: </w:t>
      </w:r>
      <w:r w:rsidR="003711FF">
        <w:t xml:space="preserve">SCI extracted information includes current frequency resource allocation information, </w:t>
      </w:r>
      <w:r w:rsidR="00D86087">
        <w:t xml:space="preserve">reservation period, </w:t>
      </w:r>
      <w:r w:rsidR="003711FF">
        <w:t>retransmission time gap, retransmission frequency resource allocation, and priority information.</w:t>
      </w:r>
    </w:p>
    <w:p w14:paraId="4178EB47" w14:textId="2EAA6A1C"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00403001">
        <w:rPr>
          <w:rFonts w:eastAsia="新細明體"/>
          <w:b/>
          <w:u w:val="single"/>
          <w:lang w:eastAsia="zh-TW"/>
        </w:rPr>
        <w:t>1</w:t>
      </w:r>
      <w:r w:rsidRPr="00B0488D">
        <w:t xml:space="preserve">: </w:t>
      </w:r>
      <w:r w:rsidR="003711FF">
        <w:t>Sidelink RSRP and RSSI can be used for NR V2X in measurement procedure. Further improvements can be studied.</w:t>
      </w:r>
    </w:p>
    <w:p w14:paraId="6FAB5B8A" w14:textId="7D2AD36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00403001">
        <w:rPr>
          <w:rFonts w:eastAsia="新細明體"/>
          <w:b/>
          <w:u w:val="single"/>
          <w:lang w:eastAsia="zh-TW"/>
        </w:rPr>
        <w:t>2</w:t>
      </w:r>
      <w:r w:rsidRPr="00B0488D">
        <w:t xml:space="preserve">: </w:t>
      </w:r>
      <w:r w:rsidR="003711FF">
        <w:t>RSRP threshold can be related to Tx priority, Rx priority, and communication range.</w:t>
      </w:r>
    </w:p>
    <w:p w14:paraId="35F2BB9F" w14:textId="7E9320EB" w:rsidR="003711FF"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00403001">
        <w:rPr>
          <w:rFonts w:eastAsia="新細明體"/>
          <w:b/>
          <w:u w:val="single"/>
          <w:lang w:eastAsia="zh-TW"/>
        </w:rPr>
        <w:t>3</w:t>
      </w:r>
      <w:r w:rsidRPr="00B0488D">
        <w:t xml:space="preserve">: </w:t>
      </w:r>
      <w:r w:rsidR="003711FF">
        <w:t>Slot aggregation is not supported in NR V2X.</w:t>
      </w:r>
    </w:p>
    <w:p w14:paraId="51B3BF9F" w14:textId="0417729A"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00403001">
        <w:rPr>
          <w:rFonts w:eastAsia="新細明體"/>
          <w:b/>
          <w:u w:val="single"/>
          <w:lang w:eastAsia="zh-TW"/>
        </w:rPr>
        <w:t>4</w:t>
      </w:r>
      <w:r w:rsidRPr="00B0488D">
        <w:t xml:space="preserve">: </w:t>
      </w:r>
      <w:r w:rsidR="003711FF">
        <w:t>Mini-slot is not supported in NR V2X.</w:t>
      </w:r>
    </w:p>
    <w:p w14:paraId="65BCB9E0" w14:textId="76154F62"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0008761F">
        <w:rPr>
          <w:rFonts w:eastAsia="新細明體"/>
          <w:b/>
          <w:u w:val="single"/>
          <w:lang w:eastAsia="zh-TW"/>
        </w:rPr>
        <w:t>5</w:t>
      </w:r>
      <w:r w:rsidRPr="00B0488D">
        <w:t xml:space="preserve">: </w:t>
      </w:r>
      <w:r w:rsidR="003711FF">
        <w:t>SL-RSRP measurement is supported by using PSSCH DMRS in NR V2X.</w:t>
      </w:r>
    </w:p>
    <w:p w14:paraId="1CC12234" w14:textId="6F76B64B"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0008761F">
        <w:rPr>
          <w:rFonts w:eastAsia="新細明體"/>
          <w:b/>
          <w:u w:val="single"/>
          <w:lang w:eastAsia="zh-TW"/>
        </w:rPr>
        <w:t>6</w:t>
      </w:r>
      <w:r w:rsidRPr="00B0488D">
        <w:t xml:space="preserve">: </w:t>
      </w:r>
      <w:r w:rsidR="003711FF">
        <w:t xml:space="preserve">SL-RSSI is supported </w:t>
      </w:r>
      <w:r w:rsidR="00664BD1">
        <w:t>in the sensing and resource selection procedure of NR V2X.</w:t>
      </w:r>
      <w:r w:rsidR="003711FF">
        <w:t>.</w:t>
      </w:r>
    </w:p>
    <w:p w14:paraId="08AFE9C4" w14:textId="7B8D9EFA" w:rsidR="002022BB" w:rsidRDefault="002022BB" w:rsidP="002022BB">
      <w:pPr>
        <w:jc w:val="both"/>
        <w:rPr>
          <w:rFonts w:eastAsiaTheme="minorEastAsia"/>
          <w:lang w:val="en-GB" w:eastAsia="zh-TW"/>
        </w:rPr>
      </w:pPr>
      <w:r w:rsidRPr="00B0488D">
        <w:rPr>
          <w:rFonts w:eastAsia="新細明體"/>
          <w:b/>
          <w:u w:val="single"/>
          <w:lang w:eastAsia="zh-TW"/>
        </w:rPr>
        <w:t xml:space="preserve">Proposal </w:t>
      </w:r>
      <w:r>
        <w:rPr>
          <w:rFonts w:eastAsia="新細明體"/>
          <w:b/>
          <w:u w:val="single"/>
          <w:lang w:eastAsia="zh-TW"/>
        </w:rPr>
        <w:t>1</w:t>
      </w:r>
      <w:r w:rsidR="0008761F">
        <w:rPr>
          <w:rFonts w:eastAsia="新細明體"/>
          <w:b/>
          <w:u w:val="single"/>
          <w:lang w:eastAsia="zh-TW"/>
        </w:rPr>
        <w:t>7</w:t>
      </w:r>
      <w:r w:rsidRPr="00B0488D">
        <w:t xml:space="preserve">: </w:t>
      </w:r>
      <w:r w:rsidR="003711FF">
        <w:t>One weighting function can be introduced for averaging SL-RSSI in sidelink measurement process. The weighting function can be a step function or an exponential function.</w:t>
      </w:r>
    </w:p>
    <w:p w14:paraId="79F93F4E" w14:textId="69FE36DB" w:rsidR="003711FF" w:rsidRDefault="003711FF" w:rsidP="003711FF">
      <w:pPr>
        <w:jc w:val="both"/>
      </w:pPr>
      <w:r w:rsidRPr="00B0488D">
        <w:rPr>
          <w:rFonts w:eastAsia="新細明體"/>
          <w:b/>
          <w:u w:val="single"/>
          <w:lang w:eastAsia="zh-TW"/>
        </w:rPr>
        <w:t xml:space="preserve">Proposal </w:t>
      </w:r>
      <w:r w:rsidR="006F7675">
        <w:rPr>
          <w:rFonts w:eastAsia="新細明體"/>
          <w:b/>
          <w:u w:val="single"/>
          <w:lang w:eastAsia="zh-TW"/>
        </w:rPr>
        <w:t>1</w:t>
      </w:r>
      <w:r w:rsidR="0008761F">
        <w:rPr>
          <w:rFonts w:eastAsia="新細明體"/>
          <w:b/>
          <w:u w:val="single"/>
          <w:lang w:eastAsia="zh-TW"/>
        </w:rPr>
        <w:t>8</w:t>
      </w:r>
      <w:r w:rsidRPr="00B0488D">
        <w:t xml:space="preserve">: </w:t>
      </w:r>
      <w:r>
        <w:t>Resource selection procedure should consider maximum number of HARQ retransmissions and latency requirements.</w:t>
      </w:r>
    </w:p>
    <w:p w14:paraId="69FE8693" w14:textId="062B15F1" w:rsidR="003711FF" w:rsidRDefault="003711FF" w:rsidP="003711FF">
      <w:pPr>
        <w:jc w:val="both"/>
      </w:pPr>
      <w:r w:rsidRPr="00B0488D">
        <w:rPr>
          <w:rFonts w:eastAsia="新細明體"/>
          <w:b/>
          <w:u w:val="single"/>
          <w:lang w:eastAsia="zh-TW"/>
        </w:rPr>
        <w:t xml:space="preserve">Proposal </w:t>
      </w:r>
      <w:r w:rsidR="0008761F">
        <w:rPr>
          <w:rFonts w:eastAsia="新細明體"/>
          <w:b/>
          <w:u w:val="single"/>
          <w:lang w:eastAsia="zh-TW"/>
        </w:rPr>
        <w:t>19</w:t>
      </w:r>
      <w:r w:rsidRPr="00B0488D">
        <w:t xml:space="preserve">: </w:t>
      </w:r>
      <w:r>
        <w:t>IBE problem should be considered in NR V2X.</w:t>
      </w:r>
    </w:p>
    <w:p w14:paraId="647D9D53" w14:textId="7E2DE6B6" w:rsidR="003711FF" w:rsidRDefault="003711FF" w:rsidP="003711FF">
      <w:pPr>
        <w:jc w:val="both"/>
      </w:pPr>
      <w:r w:rsidRPr="00B0488D">
        <w:rPr>
          <w:rFonts w:eastAsia="新細明體"/>
          <w:b/>
          <w:u w:val="single"/>
          <w:lang w:eastAsia="zh-TW"/>
        </w:rPr>
        <w:t xml:space="preserve">Proposal </w:t>
      </w:r>
      <w:r>
        <w:rPr>
          <w:rFonts w:eastAsia="新細明體"/>
          <w:b/>
          <w:u w:val="single"/>
          <w:lang w:eastAsia="zh-TW"/>
        </w:rPr>
        <w:t>2</w:t>
      </w:r>
      <w:r w:rsidR="0008761F">
        <w:rPr>
          <w:rFonts w:eastAsia="新細明體"/>
          <w:b/>
          <w:u w:val="single"/>
          <w:lang w:eastAsia="zh-TW"/>
        </w:rPr>
        <w:t>0</w:t>
      </w:r>
      <w:r w:rsidRPr="00B0488D">
        <w:t xml:space="preserve">: </w:t>
      </w:r>
      <w:r>
        <w:t xml:space="preserve">Send LS </w:t>
      </w:r>
      <w:r w:rsidR="00810164">
        <w:t xml:space="preserve">reply </w:t>
      </w:r>
      <w:r>
        <w:t>to RAN2 that zone ID based resource pool configuration cannot provide any benefit from RAN1 perspective.</w:t>
      </w:r>
    </w:p>
    <w:p w14:paraId="420976E2" w14:textId="42FB07B1" w:rsidR="003711FF" w:rsidRDefault="003711FF" w:rsidP="003711FF">
      <w:pPr>
        <w:jc w:val="both"/>
      </w:pPr>
      <w:r w:rsidRPr="00B0488D">
        <w:rPr>
          <w:rFonts w:eastAsia="新細明體"/>
          <w:b/>
          <w:u w:val="single"/>
          <w:lang w:eastAsia="zh-TW"/>
        </w:rPr>
        <w:t xml:space="preserve">Proposal </w:t>
      </w:r>
      <w:r>
        <w:rPr>
          <w:rFonts w:eastAsia="新細明體"/>
          <w:b/>
          <w:u w:val="single"/>
          <w:lang w:eastAsia="zh-TW"/>
        </w:rPr>
        <w:t>2</w:t>
      </w:r>
      <w:r w:rsidR="0008761F">
        <w:rPr>
          <w:rFonts w:eastAsia="新細明體"/>
          <w:b/>
          <w:u w:val="single"/>
          <w:lang w:eastAsia="zh-TW"/>
        </w:rPr>
        <w:t>1</w:t>
      </w:r>
      <w:r w:rsidRPr="00B0488D">
        <w:t xml:space="preserve">: </w:t>
      </w:r>
      <w:r>
        <w:t>To alleviate IBE problem, two nearby UEs’ resources can be allocated adjacently. One weighting function can be introduced to resource selection procedure to indicate SL-RSRP difference between UE and occupied resource.</w:t>
      </w:r>
    </w:p>
    <w:p w14:paraId="03B67C19" w14:textId="74371D82" w:rsidR="003711FF" w:rsidRDefault="003711FF" w:rsidP="003711FF">
      <w:pPr>
        <w:jc w:val="both"/>
      </w:pPr>
      <w:r w:rsidRPr="00B0488D">
        <w:rPr>
          <w:rFonts w:eastAsia="新細明體"/>
          <w:b/>
          <w:u w:val="single"/>
          <w:lang w:eastAsia="zh-TW"/>
        </w:rPr>
        <w:t xml:space="preserve">Proposal </w:t>
      </w:r>
      <w:r>
        <w:rPr>
          <w:rFonts w:eastAsia="新細明體"/>
          <w:b/>
          <w:u w:val="single"/>
          <w:lang w:eastAsia="zh-TW"/>
        </w:rPr>
        <w:t>2</w:t>
      </w:r>
      <w:r w:rsidR="0008761F">
        <w:rPr>
          <w:rFonts w:eastAsia="新細明體"/>
          <w:b/>
          <w:u w:val="single"/>
          <w:lang w:eastAsia="zh-TW"/>
        </w:rPr>
        <w:t>2</w:t>
      </w:r>
      <w:r w:rsidRPr="00B0488D">
        <w:t xml:space="preserve">: </w:t>
      </w:r>
      <w:r>
        <w:t>Before resource reselection, a UE should announce the resource reselection timing and monitor the number of announced UEs to avoid possible collision.</w:t>
      </w:r>
    </w:p>
    <w:p w14:paraId="6F665BE3" w14:textId="77777777" w:rsidR="00E523F3" w:rsidRPr="000A64D8" w:rsidRDefault="00E523F3" w:rsidP="00E523F3">
      <w:pPr>
        <w:pStyle w:val="Heading1"/>
        <w:rPr>
          <w:lang w:val="en-US"/>
        </w:rPr>
      </w:pPr>
      <w:r w:rsidRPr="000A64D8">
        <w:rPr>
          <w:lang w:val="en-US"/>
        </w:rPr>
        <w:t>References</w:t>
      </w:r>
    </w:p>
    <w:p w14:paraId="16FAD48F" w14:textId="47C485A9" w:rsidR="00F547F5" w:rsidRDefault="00F547F5" w:rsidP="00B33BFF">
      <w:pPr>
        <w:numPr>
          <w:ilvl w:val="0"/>
          <w:numId w:val="1"/>
        </w:numPr>
        <w:spacing w:before="100" w:beforeAutospacing="1" w:after="100" w:afterAutospacing="1"/>
        <w:rPr>
          <w:szCs w:val="22"/>
        </w:rPr>
      </w:pPr>
      <w:r>
        <w:rPr>
          <w:szCs w:val="22"/>
        </w:rPr>
        <w:t>Chairman’s Notes, RAN1 #9</w:t>
      </w:r>
      <w:r w:rsidR="00581409">
        <w:rPr>
          <w:szCs w:val="22"/>
        </w:rPr>
        <w:t>8</w:t>
      </w:r>
      <w:r>
        <w:rPr>
          <w:szCs w:val="22"/>
        </w:rPr>
        <w:t xml:space="preserve">, </w:t>
      </w:r>
      <w:r w:rsidR="00581409">
        <w:rPr>
          <w:szCs w:val="22"/>
        </w:rPr>
        <w:t>Prague</w:t>
      </w:r>
      <w:r>
        <w:rPr>
          <w:szCs w:val="22"/>
        </w:rPr>
        <w:t xml:space="preserve">, </w:t>
      </w:r>
      <w:r w:rsidR="00581409">
        <w:rPr>
          <w:szCs w:val="22"/>
        </w:rPr>
        <w:t>CZ</w:t>
      </w:r>
      <w:r>
        <w:rPr>
          <w:szCs w:val="22"/>
        </w:rPr>
        <w:t xml:space="preserve">, </w:t>
      </w:r>
      <w:r w:rsidR="00581409">
        <w:rPr>
          <w:szCs w:val="22"/>
        </w:rPr>
        <w:t>Aug.</w:t>
      </w:r>
      <w:r>
        <w:rPr>
          <w:szCs w:val="22"/>
        </w:rPr>
        <w:t xml:space="preserve">019. </w:t>
      </w:r>
    </w:p>
    <w:p w14:paraId="75BCCC96" w14:textId="67019545" w:rsidR="00581409" w:rsidRDefault="00581409" w:rsidP="00B33BFF">
      <w:pPr>
        <w:numPr>
          <w:ilvl w:val="0"/>
          <w:numId w:val="1"/>
        </w:numPr>
        <w:spacing w:before="100" w:beforeAutospacing="1" w:after="100" w:afterAutospacing="1"/>
        <w:rPr>
          <w:szCs w:val="22"/>
        </w:rPr>
      </w:pPr>
      <w:r>
        <w:rPr>
          <w:szCs w:val="22"/>
        </w:rPr>
        <w:t>Chairman’s Notes, RAN1 #97, Reno, US, May 2019.</w:t>
      </w:r>
    </w:p>
    <w:p w14:paraId="05CD1AB1" w14:textId="2FB92307" w:rsidR="009F2332" w:rsidRDefault="00B33BFF" w:rsidP="00B33BFF">
      <w:pPr>
        <w:numPr>
          <w:ilvl w:val="0"/>
          <w:numId w:val="1"/>
        </w:numPr>
        <w:spacing w:before="100" w:beforeAutospacing="1" w:after="100" w:afterAutospacing="1"/>
        <w:rPr>
          <w:szCs w:val="22"/>
        </w:rPr>
      </w:pPr>
      <w:r>
        <w:rPr>
          <w:szCs w:val="22"/>
        </w:rPr>
        <w:t>Chairman’s Notes, RAN1 #</w:t>
      </w:r>
      <w:r w:rsidR="00D52029">
        <w:rPr>
          <w:szCs w:val="22"/>
        </w:rPr>
        <w:t>96bis</w:t>
      </w:r>
      <w:r>
        <w:rPr>
          <w:szCs w:val="22"/>
        </w:rPr>
        <w:t xml:space="preserve">, </w:t>
      </w:r>
      <w:r w:rsidR="00D52029">
        <w:rPr>
          <w:szCs w:val="22"/>
        </w:rPr>
        <w:t>Xian</w:t>
      </w:r>
      <w:r>
        <w:rPr>
          <w:szCs w:val="22"/>
        </w:rPr>
        <w:t xml:space="preserve">, </w:t>
      </w:r>
      <w:r w:rsidR="00D52029">
        <w:rPr>
          <w:szCs w:val="22"/>
        </w:rPr>
        <w:t>China</w:t>
      </w:r>
      <w:r>
        <w:rPr>
          <w:szCs w:val="22"/>
        </w:rPr>
        <w:t xml:space="preserve">, </w:t>
      </w:r>
      <w:r w:rsidR="00D52029">
        <w:rPr>
          <w:szCs w:val="22"/>
        </w:rPr>
        <w:t>April</w:t>
      </w:r>
      <w:r>
        <w:rPr>
          <w:szCs w:val="22"/>
        </w:rPr>
        <w:t xml:space="preserve"> 2019. </w:t>
      </w:r>
    </w:p>
    <w:p w14:paraId="42BC107C" w14:textId="7B7A8F70" w:rsidR="00323521" w:rsidRDefault="00323521" w:rsidP="00B33BFF">
      <w:pPr>
        <w:numPr>
          <w:ilvl w:val="0"/>
          <w:numId w:val="1"/>
        </w:numPr>
        <w:spacing w:before="100" w:beforeAutospacing="1" w:after="100" w:afterAutospacing="1"/>
        <w:rPr>
          <w:szCs w:val="22"/>
        </w:rPr>
      </w:pPr>
      <w:r>
        <w:rPr>
          <w:szCs w:val="22"/>
        </w:rPr>
        <w:t>Chairman’s Notes, RAN1 #96, Athens, Greece, Feb. 2019.</w:t>
      </w:r>
    </w:p>
    <w:p w14:paraId="31F94440" w14:textId="167FE163" w:rsidR="00323521" w:rsidRDefault="00CE5C4C" w:rsidP="00D52029">
      <w:pPr>
        <w:numPr>
          <w:ilvl w:val="0"/>
          <w:numId w:val="1"/>
        </w:numPr>
        <w:spacing w:before="100" w:beforeAutospacing="1" w:after="100" w:afterAutospacing="1"/>
        <w:rPr>
          <w:szCs w:val="22"/>
        </w:rPr>
      </w:pPr>
      <w:r w:rsidRPr="00306732">
        <w:rPr>
          <w:szCs w:val="22"/>
        </w:rPr>
        <w:t>3GPP TS 22.186, Enhancement of 3GPP support for V2X scenarios.</w:t>
      </w:r>
    </w:p>
    <w:p w14:paraId="571E6B31" w14:textId="5901E44C" w:rsidR="00744230" w:rsidRDefault="00744230" w:rsidP="00D52029">
      <w:pPr>
        <w:numPr>
          <w:ilvl w:val="0"/>
          <w:numId w:val="1"/>
        </w:numPr>
        <w:spacing w:before="100" w:beforeAutospacing="1" w:after="100" w:afterAutospacing="1"/>
        <w:rPr>
          <w:szCs w:val="22"/>
        </w:rPr>
      </w:pPr>
      <w:r>
        <w:rPr>
          <w:szCs w:val="22"/>
        </w:rPr>
        <w:t>3GPP TR 28.885, Study on NR V2X.</w:t>
      </w:r>
    </w:p>
    <w:p w14:paraId="5941EE4C" w14:textId="3F081615" w:rsidR="00B40B2D" w:rsidRPr="00306732" w:rsidRDefault="00B40B2D" w:rsidP="00D52029">
      <w:pPr>
        <w:numPr>
          <w:ilvl w:val="0"/>
          <w:numId w:val="1"/>
        </w:numPr>
        <w:spacing w:before="100" w:beforeAutospacing="1" w:after="100" w:afterAutospacing="1"/>
        <w:rPr>
          <w:szCs w:val="22"/>
        </w:rPr>
      </w:pPr>
      <w:r>
        <w:rPr>
          <w:szCs w:val="22"/>
        </w:rPr>
        <w:t>R2-1908306, LS on NR V2X resource pool configuration and selection, RAN2 #106, Reno, US, May 2019.</w:t>
      </w:r>
    </w:p>
    <w:sectPr w:rsidR="00B40B2D" w:rsidRPr="00306732"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A5395" w14:textId="77777777" w:rsidR="005D3721" w:rsidRDefault="005D3721">
      <w:r>
        <w:separator/>
      </w:r>
    </w:p>
  </w:endnote>
  <w:endnote w:type="continuationSeparator" w:id="0">
    <w:p w14:paraId="199AAA30" w14:textId="77777777" w:rsidR="005D3721" w:rsidRDefault="005D3721">
      <w:r>
        <w:continuationSeparator/>
      </w:r>
    </w:p>
  </w:endnote>
  <w:endnote w:type="continuationNotice" w:id="1">
    <w:p w14:paraId="067AE1F1" w14:textId="77777777" w:rsidR="005D3721" w:rsidRDefault="005D3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BA22E" w14:textId="77777777" w:rsidR="00F55214" w:rsidRDefault="00F5521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69A4EA" w14:textId="77777777" w:rsidR="00F55214" w:rsidRDefault="00F5521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2AC8A" w14:textId="77777777" w:rsidR="00F55214" w:rsidRDefault="00F5521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774A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74AA">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4206C" w14:textId="77777777" w:rsidR="005D3721" w:rsidRDefault="005D3721">
      <w:r>
        <w:separator/>
      </w:r>
    </w:p>
  </w:footnote>
  <w:footnote w:type="continuationSeparator" w:id="0">
    <w:p w14:paraId="09800416" w14:textId="77777777" w:rsidR="005D3721" w:rsidRDefault="005D3721">
      <w:r>
        <w:continuationSeparator/>
      </w:r>
    </w:p>
  </w:footnote>
  <w:footnote w:type="continuationNotice" w:id="1">
    <w:p w14:paraId="41F52EA6" w14:textId="77777777" w:rsidR="005D3721" w:rsidRDefault="005D372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9CDAA" w14:textId="77777777" w:rsidR="00F55214" w:rsidRDefault="00F55214">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167D8"/>
    <w:multiLevelType w:val="hybridMultilevel"/>
    <w:tmpl w:val="55C2665C"/>
    <w:lvl w:ilvl="0" w:tplc="551A5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C78CD5F0"/>
    <w:lvl w:ilvl="0">
      <w:start w:val="1"/>
      <w:numFmt w:val="decimal"/>
      <w:pStyle w:val="Heading1"/>
      <w:lvlText w:val="%1"/>
      <w:lvlJc w:val="left"/>
      <w:pPr>
        <w:ind w:left="3852" w:hanging="432"/>
      </w:pPr>
      <w:rPr>
        <w:lang w:val="en-US"/>
      </w:rPr>
    </w:lvl>
    <w:lvl w:ilvl="1">
      <w:start w:val="1"/>
      <w:numFmt w:val="decimal"/>
      <w:pStyle w:val="Heading2"/>
      <w:lvlText w:val="%1.%2"/>
      <w:lvlJc w:val="left"/>
      <w:pPr>
        <w:ind w:left="2277"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417B2"/>
    <w:multiLevelType w:val="hybridMultilevel"/>
    <w:tmpl w:val="7A4E95F4"/>
    <w:lvl w:ilvl="0" w:tplc="551A5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6F3C"/>
    <w:multiLevelType w:val="hybridMultilevel"/>
    <w:tmpl w:val="49022ABA"/>
    <w:lvl w:ilvl="0" w:tplc="551A5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A2D18"/>
    <w:multiLevelType w:val="hybridMultilevel"/>
    <w:tmpl w:val="790C20FA"/>
    <w:lvl w:ilvl="0" w:tplc="36D018AA">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8C074D"/>
    <w:multiLevelType w:val="hybridMultilevel"/>
    <w:tmpl w:val="52469DA4"/>
    <w:lvl w:ilvl="0" w:tplc="551A5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9230691"/>
    <w:multiLevelType w:val="hybridMultilevel"/>
    <w:tmpl w:val="570CFFBA"/>
    <w:lvl w:ilvl="0" w:tplc="551A5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1C1205"/>
    <w:multiLevelType w:val="hybridMultilevel"/>
    <w:tmpl w:val="6A443722"/>
    <w:lvl w:ilvl="0" w:tplc="764E130E">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1"/>
  </w:num>
  <w:num w:numId="4">
    <w:abstractNumId w:val="12"/>
  </w:num>
  <w:num w:numId="5">
    <w:abstractNumId w:val="5"/>
  </w:num>
  <w:num w:numId="6">
    <w:abstractNumId w:val="9"/>
  </w:num>
  <w:num w:numId="7">
    <w:abstractNumId w:val="8"/>
  </w:num>
  <w:num w:numId="8">
    <w:abstractNumId w:val="16"/>
  </w:num>
  <w:num w:numId="9">
    <w:abstractNumId w:val="15"/>
  </w:num>
  <w:num w:numId="10">
    <w:abstractNumId w:val="3"/>
  </w:num>
  <w:num w:numId="11">
    <w:abstractNumId w:val="17"/>
  </w:num>
  <w:num w:numId="12">
    <w:abstractNumId w:val="7"/>
  </w:num>
  <w:num w:numId="13">
    <w:abstractNumId w:val="10"/>
  </w:num>
  <w:num w:numId="14">
    <w:abstractNumId w:val="13"/>
  </w:num>
  <w:num w:numId="15">
    <w:abstractNumId w:val="4"/>
  </w:num>
  <w:num w:numId="16">
    <w:abstractNumId w:val="1"/>
  </w:num>
  <w:num w:numId="17">
    <w:abstractNumId w:val="6"/>
  </w:num>
  <w:num w:numId="1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627"/>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3F1F"/>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0DF"/>
    <w:rsid w:val="000321DC"/>
    <w:rsid w:val="00032494"/>
    <w:rsid w:val="000325EF"/>
    <w:rsid w:val="00032A0C"/>
    <w:rsid w:val="00033882"/>
    <w:rsid w:val="000338DC"/>
    <w:rsid w:val="00034882"/>
    <w:rsid w:val="000349B7"/>
    <w:rsid w:val="0003540B"/>
    <w:rsid w:val="00035574"/>
    <w:rsid w:val="00036199"/>
    <w:rsid w:val="000365A2"/>
    <w:rsid w:val="0003698E"/>
    <w:rsid w:val="00036C45"/>
    <w:rsid w:val="00036DCC"/>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2F7"/>
    <w:rsid w:val="000515F7"/>
    <w:rsid w:val="00051D5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B71"/>
    <w:rsid w:val="00065D64"/>
    <w:rsid w:val="000667D1"/>
    <w:rsid w:val="000668A5"/>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410"/>
    <w:rsid w:val="0007368E"/>
    <w:rsid w:val="00073785"/>
    <w:rsid w:val="00073974"/>
    <w:rsid w:val="00074080"/>
    <w:rsid w:val="000741B3"/>
    <w:rsid w:val="00074375"/>
    <w:rsid w:val="000743A0"/>
    <w:rsid w:val="00074A9E"/>
    <w:rsid w:val="00074BF5"/>
    <w:rsid w:val="000752CD"/>
    <w:rsid w:val="00075680"/>
    <w:rsid w:val="00075999"/>
    <w:rsid w:val="00075AB6"/>
    <w:rsid w:val="00076258"/>
    <w:rsid w:val="00076408"/>
    <w:rsid w:val="0007661E"/>
    <w:rsid w:val="00077073"/>
    <w:rsid w:val="00077265"/>
    <w:rsid w:val="00077A8B"/>
    <w:rsid w:val="0008022A"/>
    <w:rsid w:val="00080418"/>
    <w:rsid w:val="0008048A"/>
    <w:rsid w:val="000805B2"/>
    <w:rsid w:val="00080D74"/>
    <w:rsid w:val="00081383"/>
    <w:rsid w:val="00082071"/>
    <w:rsid w:val="000826FF"/>
    <w:rsid w:val="00082A49"/>
    <w:rsid w:val="00082B40"/>
    <w:rsid w:val="00082C90"/>
    <w:rsid w:val="000832D0"/>
    <w:rsid w:val="00083322"/>
    <w:rsid w:val="0008399B"/>
    <w:rsid w:val="00083ABE"/>
    <w:rsid w:val="00084255"/>
    <w:rsid w:val="00084F99"/>
    <w:rsid w:val="00085239"/>
    <w:rsid w:val="00085F08"/>
    <w:rsid w:val="000862BA"/>
    <w:rsid w:val="000862F6"/>
    <w:rsid w:val="00086B50"/>
    <w:rsid w:val="00086C4D"/>
    <w:rsid w:val="00086D5C"/>
    <w:rsid w:val="0008760B"/>
    <w:rsid w:val="0008761F"/>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852"/>
    <w:rsid w:val="000A794F"/>
    <w:rsid w:val="000A7C88"/>
    <w:rsid w:val="000B02C2"/>
    <w:rsid w:val="000B06E8"/>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0DEA"/>
    <w:rsid w:val="000C133A"/>
    <w:rsid w:val="000C1545"/>
    <w:rsid w:val="000C17B7"/>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9A6"/>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610"/>
    <w:rsid w:val="000D5965"/>
    <w:rsid w:val="000D59D6"/>
    <w:rsid w:val="000D5AB0"/>
    <w:rsid w:val="000D5AD1"/>
    <w:rsid w:val="000D5E4D"/>
    <w:rsid w:val="000D6BD8"/>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D2"/>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567"/>
    <w:rsid w:val="0010486A"/>
    <w:rsid w:val="00104979"/>
    <w:rsid w:val="00104A80"/>
    <w:rsid w:val="001050B7"/>
    <w:rsid w:val="001050F9"/>
    <w:rsid w:val="0010521E"/>
    <w:rsid w:val="0010568A"/>
    <w:rsid w:val="001056C5"/>
    <w:rsid w:val="001057DC"/>
    <w:rsid w:val="00105820"/>
    <w:rsid w:val="00105BAD"/>
    <w:rsid w:val="00105CEE"/>
    <w:rsid w:val="00105DA1"/>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998"/>
    <w:rsid w:val="00136AAD"/>
    <w:rsid w:val="00137280"/>
    <w:rsid w:val="00137288"/>
    <w:rsid w:val="00137480"/>
    <w:rsid w:val="001375B9"/>
    <w:rsid w:val="00137664"/>
    <w:rsid w:val="001376F7"/>
    <w:rsid w:val="00137EA0"/>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951"/>
    <w:rsid w:val="00145C21"/>
    <w:rsid w:val="001462D7"/>
    <w:rsid w:val="00146577"/>
    <w:rsid w:val="00146773"/>
    <w:rsid w:val="00146B70"/>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537"/>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0D6C"/>
    <w:rsid w:val="0016159D"/>
    <w:rsid w:val="00162262"/>
    <w:rsid w:val="001623A3"/>
    <w:rsid w:val="00162BD5"/>
    <w:rsid w:val="00162CF1"/>
    <w:rsid w:val="00162F82"/>
    <w:rsid w:val="001630E4"/>
    <w:rsid w:val="0016358E"/>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BEC"/>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B85"/>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7"/>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0EE"/>
    <w:rsid w:val="00196B90"/>
    <w:rsid w:val="00196D9F"/>
    <w:rsid w:val="00196DE8"/>
    <w:rsid w:val="00196FF4"/>
    <w:rsid w:val="00197236"/>
    <w:rsid w:val="0019734F"/>
    <w:rsid w:val="00197867"/>
    <w:rsid w:val="00197FCA"/>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B9"/>
    <w:rsid w:val="001A39E3"/>
    <w:rsid w:val="001A3BBA"/>
    <w:rsid w:val="001A3F0F"/>
    <w:rsid w:val="001A3FA5"/>
    <w:rsid w:val="001A4EDF"/>
    <w:rsid w:val="001A5308"/>
    <w:rsid w:val="001A6164"/>
    <w:rsid w:val="001A61A0"/>
    <w:rsid w:val="001A6362"/>
    <w:rsid w:val="001A6973"/>
    <w:rsid w:val="001A6AFE"/>
    <w:rsid w:val="001A6E27"/>
    <w:rsid w:val="001A706D"/>
    <w:rsid w:val="001A71EB"/>
    <w:rsid w:val="001A72EE"/>
    <w:rsid w:val="001A741B"/>
    <w:rsid w:val="001A7826"/>
    <w:rsid w:val="001A7833"/>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5AC"/>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794"/>
    <w:rsid w:val="001C6E4C"/>
    <w:rsid w:val="001C7426"/>
    <w:rsid w:val="001C786A"/>
    <w:rsid w:val="001C7F47"/>
    <w:rsid w:val="001D006C"/>
    <w:rsid w:val="001D056C"/>
    <w:rsid w:val="001D0578"/>
    <w:rsid w:val="001D0593"/>
    <w:rsid w:val="001D1075"/>
    <w:rsid w:val="001D1258"/>
    <w:rsid w:val="001D1307"/>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8E"/>
    <w:rsid w:val="001F45E8"/>
    <w:rsid w:val="001F4E57"/>
    <w:rsid w:val="001F4E7F"/>
    <w:rsid w:val="001F53A2"/>
    <w:rsid w:val="001F5C95"/>
    <w:rsid w:val="001F5C9E"/>
    <w:rsid w:val="001F5E73"/>
    <w:rsid w:val="001F5ED8"/>
    <w:rsid w:val="001F5F10"/>
    <w:rsid w:val="001F644E"/>
    <w:rsid w:val="001F68ED"/>
    <w:rsid w:val="001F6E45"/>
    <w:rsid w:val="001F7317"/>
    <w:rsid w:val="001F74EC"/>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2BB"/>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6EC"/>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7AC"/>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7B"/>
    <w:rsid w:val="00241D6D"/>
    <w:rsid w:val="002421F2"/>
    <w:rsid w:val="0024284B"/>
    <w:rsid w:val="0024286B"/>
    <w:rsid w:val="00242B2A"/>
    <w:rsid w:val="00242CAE"/>
    <w:rsid w:val="00243457"/>
    <w:rsid w:val="002436BB"/>
    <w:rsid w:val="00243ACD"/>
    <w:rsid w:val="002440D5"/>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6B7"/>
    <w:rsid w:val="00256518"/>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67F17"/>
    <w:rsid w:val="002706CC"/>
    <w:rsid w:val="002708DA"/>
    <w:rsid w:val="00270C11"/>
    <w:rsid w:val="00270C63"/>
    <w:rsid w:val="00270C98"/>
    <w:rsid w:val="00270CF1"/>
    <w:rsid w:val="00270D64"/>
    <w:rsid w:val="00270E57"/>
    <w:rsid w:val="00270E80"/>
    <w:rsid w:val="00270EA3"/>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825"/>
    <w:rsid w:val="00286B84"/>
    <w:rsid w:val="00286F76"/>
    <w:rsid w:val="00287376"/>
    <w:rsid w:val="0028741E"/>
    <w:rsid w:val="002877DE"/>
    <w:rsid w:val="00287821"/>
    <w:rsid w:val="00287C28"/>
    <w:rsid w:val="00287C3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9A0"/>
    <w:rsid w:val="002A3AFD"/>
    <w:rsid w:val="002A3B12"/>
    <w:rsid w:val="002A4102"/>
    <w:rsid w:val="002A4918"/>
    <w:rsid w:val="002A4B7D"/>
    <w:rsid w:val="002A4E20"/>
    <w:rsid w:val="002A523D"/>
    <w:rsid w:val="002A535F"/>
    <w:rsid w:val="002A58A5"/>
    <w:rsid w:val="002A5FC1"/>
    <w:rsid w:val="002A62F8"/>
    <w:rsid w:val="002A6328"/>
    <w:rsid w:val="002A6BBC"/>
    <w:rsid w:val="002A6D99"/>
    <w:rsid w:val="002A6EF8"/>
    <w:rsid w:val="002A732C"/>
    <w:rsid w:val="002A7A6A"/>
    <w:rsid w:val="002A7AB4"/>
    <w:rsid w:val="002B07BF"/>
    <w:rsid w:val="002B0805"/>
    <w:rsid w:val="002B0960"/>
    <w:rsid w:val="002B0C99"/>
    <w:rsid w:val="002B10F9"/>
    <w:rsid w:val="002B12C7"/>
    <w:rsid w:val="002B1AFA"/>
    <w:rsid w:val="002B1FB0"/>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C75"/>
    <w:rsid w:val="002B6D31"/>
    <w:rsid w:val="002B70A2"/>
    <w:rsid w:val="002B71B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AF6"/>
    <w:rsid w:val="002C5533"/>
    <w:rsid w:val="002C5620"/>
    <w:rsid w:val="002C5A6B"/>
    <w:rsid w:val="002C61E0"/>
    <w:rsid w:val="002C640C"/>
    <w:rsid w:val="002C6D3C"/>
    <w:rsid w:val="002C75EB"/>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12A"/>
    <w:rsid w:val="002D52E0"/>
    <w:rsid w:val="002D5DEA"/>
    <w:rsid w:val="002D6127"/>
    <w:rsid w:val="002D61BE"/>
    <w:rsid w:val="002D61F0"/>
    <w:rsid w:val="002D6624"/>
    <w:rsid w:val="002D7235"/>
    <w:rsid w:val="002D76E8"/>
    <w:rsid w:val="002E0869"/>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735D"/>
    <w:rsid w:val="002F0045"/>
    <w:rsid w:val="002F00F0"/>
    <w:rsid w:val="002F025B"/>
    <w:rsid w:val="002F0684"/>
    <w:rsid w:val="002F09C0"/>
    <w:rsid w:val="002F0ADB"/>
    <w:rsid w:val="002F0E34"/>
    <w:rsid w:val="002F1D0C"/>
    <w:rsid w:val="002F29B5"/>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3B4C"/>
    <w:rsid w:val="00304075"/>
    <w:rsid w:val="00304556"/>
    <w:rsid w:val="003048C8"/>
    <w:rsid w:val="00304AC5"/>
    <w:rsid w:val="00304C9E"/>
    <w:rsid w:val="00305B82"/>
    <w:rsid w:val="00305B97"/>
    <w:rsid w:val="003065FB"/>
    <w:rsid w:val="00306732"/>
    <w:rsid w:val="00306A32"/>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709"/>
    <w:rsid w:val="00313765"/>
    <w:rsid w:val="003137A0"/>
    <w:rsid w:val="00313BC1"/>
    <w:rsid w:val="00313C4F"/>
    <w:rsid w:val="003141C2"/>
    <w:rsid w:val="003147A8"/>
    <w:rsid w:val="00314CBB"/>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521"/>
    <w:rsid w:val="00323FAD"/>
    <w:rsid w:val="00324089"/>
    <w:rsid w:val="00324701"/>
    <w:rsid w:val="00324811"/>
    <w:rsid w:val="0032489D"/>
    <w:rsid w:val="003249F8"/>
    <w:rsid w:val="0032556B"/>
    <w:rsid w:val="00325879"/>
    <w:rsid w:val="0032651E"/>
    <w:rsid w:val="0032670C"/>
    <w:rsid w:val="003267A6"/>
    <w:rsid w:val="003270C4"/>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B29"/>
    <w:rsid w:val="00337C71"/>
    <w:rsid w:val="003406B1"/>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97D"/>
    <w:rsid w:val="003479B6"/>
    <w:rsid w:val="0035025F"/>
    <w:rsid w:val="0035041A"/>
    <w:rsid w:val="003505AD"/>
    <w:rsid w:val="00350631"/>
    <w:rsid w:val="00350DCE"/>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1FF"/>
    <w:rsid w:val="00371618"/>
    <w:rsid w:val="003719F5"/>
    <w:rsid w:val="00371CFD"/>
    <w:rsid w:val="00372019"/>
    <w:rsid w:val="00372029"/>
    <w:rsid w:val="00372065"/>
    <w:rsid w:val="003724A1"/>
    <w:rsid w:val="003725B5"/>
    <w:rsid w:val="00372A6B"/>
    <w:rsid w:val="00372A8C"/>
    <w:rsid w:val="00372C12"/>
    <w:rsid w:val="00373024"/>
    <w:rsid w:val="0037330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5B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6F79"/>
    <w:rsid w:val="0038702D"/>
    <w:rsid w:val="003870BC"/>
    <w:rsid w:val="0038732E"/>
    <w:rsid w:val="003875A7"/>
    <w:rsid w:val="00387675"/>
    <w:rsid w:val="00387771"/>
    <w:rsid w:val="0038780F"/>
    <w:rsid w:val="00387866"/>
    <w:rsid w:val="003878CE"/>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3F"/>
    <w:rsid w:val="00397292"/>
    <w:rsid w:val="003976DD"/>
    <w:rsid w:val="003978B8"/>
    <w:rsid w:val="00397AD4"/>
    <w:rsid w:val="00397C89"/>
    <w:rsid w:val="00397EEE"/>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B51"/>
    <w:rsid w:val="003A2D39"/>
    <w:rsid w:val="003A2FE7"/>
    <w:rsid w:val="003A349E"/>
    <w:rsid w:val="003A37E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0DE"/>
    <w:rsid w:val="003B5269"/>
    <w:rsid w:val="003B570F"/>
    <w:rsid w:val="003B5907"/>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291"/>
    <w:rsid w:val="003C3853"/>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086"/>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01"/>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A88"/>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1B0E"/>
    <w:rsid w:val="004222BF"/>
    <w:rsid w:val="00422442"/>
    <w:rsid w:val="00422A01"/>
    <w:rsid w:val="00422D62"/>
    <w:rsid w:val="00422DB5"/>
    <w:rsid w:val="00423001"/>
    <w:rsid w:val="004232D4"/>
    <w:rsid w:val="00423326"/>
    <w:rsid w:val="004241DA"/>
    <w:rsid w:val="00424844"/>
    <w:rsid w:val="004251F8"/>
    <w:rsid w:val="004253B1"/>
    <w:rsid w:val="00425C08"/>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0E20"/>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2E6"/>
    <w:rsid w:val="004774AA"/>
    <w:rsid w:val="004774C5"/>
    <w:rsid w:val="004775ED"/>
    <w:rsid w:val="004778C0"/>
    <w:rsid w:val="00477B60"/>
    <w:rsid w:val="00477ED7"/>
    <w:rsid w:val="00480B03"/>
    <w:rsid w:val="00480C70"/>
    <w:rsid w:val="00480CC5"/>
    <w:rsid w:val="00480D0E"/>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1E9"/>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18D2"/>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52B"/>
    <w:rsid w:val="004B169E"/>
    <w:rsid w:val="004B19BB"/>
    <w:rsid w:val="004B1C42"/>
    <w:rsid w:val="004B1E8F"/>
    <w:rsid w:val="004B24DB"/>
    <w:rsid w:val="004B269E"/>
    <w:rsid w:val="004B2700"/>
    <w:rsid w:val="004B2B31"/>
    <w:rsid w:val="004B2C33"/>
    <w:rsid w:val="004B2CDB"/>
    <w:rsid w:val="004B2DE8"/>
    <w:rsid w:val="004B2F6E"/>
    <w:rsid w:val="004B3771"/>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7CB"/>
    <w:rsid w:val="004D58D1"/>
    <w:rsid w:val="004D5F02"/>
    <w:rsid w:val="004D602D"/>
    <w:rsid w:val="004D65BA"/>
    <w:rsid w:val="004D678B"/>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34B6"/>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2C"/>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28A"/>
    <w:rsid w:val="0050031C"/>
    <w:rsid w:val="005004F7"/>
    <w:rsid w:val="00500798"/>
    <w:rsid w:val="005007E7"/>
    <w:rsid w:val="00500A59"/>
    <w:rsid w:val="00501099"/>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899"/>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348B"/>
    <w:rsid w:val="005436D7"/>
    <w:rsid w:val="00543703"/>
    <w:rsid w:val="00543A06"/>
    <w:rsid w:val="00543A66"/>
    <w:rsid w:val="00543A83"/>
    <w:rsid w:val="00543FA3"/>
    <w:rsid w:val="00544035"/>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C6E"/>
    <w:rsid w:val="00550D6F"/>
    <w:rsid w:val="005511B1"/>
    <w:rsid w:val="00551248"/>
    <w:rsid w:val="00551593"/>
    <w:rsid w:val="005516BE"/>
    <w:rsid w:val="00551E52"/>
    <w:rsid w:val="00552038"/>
    <w:rsid w:val="0055233E"/>
    <w:rsid w:val="00552569"/>
    <w:rsid w:val="005528E1"/>
    <w:rsid w:val="00552E20"/>
    <w:rsid w:val="00552FF4"/>
    <w:rsid w:val="005530D3"/>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8C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32C"/>
    <w:rsid w:val="00581409"/>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8767A"/>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6E3F"/>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0F08"/>
    <w:rsid w:val="005A1242"/>
    <w:rsid w:val="005A14AD"/>
    <w:rsid w:val="005A18F9"/>
    <w:rsid w:val="005A1AA7"/>
    <w:rsid w:val="005A1BAF"/>
    <w:rsid w:val="005A1C03"/>
    <w:rsid w:val="005A1CC6"/>
    <w:rsid w:val="005A2229"/>
    <w:rsid w:val="005A23BE"/>
    <w:rsid w:val="005A2459"/>
    <w:rsid w:val="005A320D"/>
    <w:rsid w:val="005A36E3"/>
    <w:rsid w:val="005A3A31"/>
    <w:rsid w:val="005A3A8E"/>
    <w:rsid w:val="005A3EBE"/>
    <w:rsid w:val="005A416C"/>
    <w:rsid w:val="005A463B"/>
    <w:rsid w:val="005A588D"/>
    <w:rsid w:val="005A59CF"/>
    <w:rsid w:val="005A5B93"/>
    <w:rsid w:val="005A6223"/>
    <w:rsid w:val="005A64B5"/>
    <w:rsid w:val="005A6A3A"/>
    <w:rsid w:val="005A6C08"/>
    <w:rsid w:val="005A6E87"/>
    <w:rsid w:val="005A71D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824"/>
    <w:rsid w:val="005B7A4C"/>
    <w:rsid w:val="005B7A5C"/>
    <w:rsid w:val="005C001C"/>
    <w:rsid w:val="005C0160"/>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721"/>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14CF"/>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7698"/>
    <w:rsid w:val="005E7849"/>
    <w:rsid w:val="005E7A8C"/>
    <w:rsid w:val="005F06FA"/>
    <w:rsid w:val="005F06FD"/>
    <w:rsid w:val="005F0B4C"/>
    <w:rsid w:val="005F0B53"/>
    <w:rsid w:val="005F0C46"/>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2AAD"/>
    <w:rsid w:val="00603051"/>
    <w:rsid w:val="0060305B"/>
    <w:rsid w:val="00603141"/>
    <w:rsid w:val="006038DE"/>
    <w:rsid w:val="006039C5"/>
    <w:rsid w:val="006039D9"/>
    <w:rsid w:val="00603B1B"/>
    <w:rsid w:val="006043D7"/>
    <w:rsid w:val="006044F1"/>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3D"/>
    <w:rsid w:val="006134CE"/>
    <w:rsid w:val="006135EA"/>
    <w:rsid w:val="006138D8"/>
    <w:rsid w:val="00613922"/>
    <w:rsid w:val="00613A55"/>
    <w:rsid w:val="00613ED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01"/>
    <w:rsid w:val="006201A2"/>
    <w:rsid w:val="006201CD"/>
    <w:rsid w:val="006201F5"/>
    <w:rsid w:val="00620254"/>
    <w:rsid w:val="006205EA"/>
    <w:rsid w:val="00620686"/>
    <w:rsid w:val="00620721"/>
    <w:rsid w:val="006209E8"/>
    <w:rsid w:val="00621B6A"/>
    <w:rsid w:val="00621C0B"/>
    <w:rsid w:val="00621C72"/>
    <w:rsid w:val="00621CAD"/>
    <w:rsid w:val="00623427"/>
    <w:rsid w:val="006237AD"/>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03F2"/>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7A2"/>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BC5"/>
    <w:rsid w:val="00661C4E"/>
    <w:rsid w:val="00661CC2"/>
    <w:rsid w:val="00662166"/>
    <w:rsid w:val="006629A4"/>
    <w:rsid w:val="00662FA2"/>
    <w:rsid w:val="0066310A"/>
    <w:rsid w:val="006635DC"/>
    <w:rsid w:val="0066369A"/>
    <w:rsid w:val="00663908"/>
    <w:rsid w:val="00663DAB"/>
    <w:rsid w:val="00664678"/>
    <w:rsid w:val="006646F4"/>
    <w:rsid w:val="00664BD1"/>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7A2"/>
    <w:rsid w:val="0067791A"/>
    <w:rsid w:val="00677F10"/>
    <w:rsid w:val="006800D5"/>
    <w:rsid w:val="0068013A"/>
    <w:rsid w:val="00680A97"/>
    <w:rsid w:val="00680F30"/>
    <w:rsid w:val="00680F81"/>
    <w:rsid w:val="00681018"/>
    <w:rsid w:val="0068102D"/>
    <w:rsid w:val="00681254"/>
    <w:rsid w:val="00681307"/>
    <w:rsid w:val="00681CCB"/>
    <w:rsid w:val="006820C0"/>
    <w:rsid w:val="0068226B"/>
    <w:rsid w:val="00682E47"/>
    <w:rsid w:val="00682ED3"/>
    <w:rsid w:val="00682F5D"/>
    <w:rsid w:val="006834D7"/>
    <w:rsid w:val="00683D7F"/>
    <w:rsid w:val="00683E9E"/>
    <w:rsid w:val="00684258"/>
    <w:rsid w:val="006845C9"/>
    <w:rsid w:val="006853FF"/>
    <w:rsid w:val="00685725"/>
    <w:rsid w:val="00685834"/>
    <w:rsid w:val="006859F5"/>
    <w:rsid w:val="00685D3B"/>
    <w:rsid w:val="00685DB7"/>
    <w:rsid w:val="0068623E"/>
    <w:rsid w:val="00686366"/>
    <w:rsid w:val="0068653A"/>
    <w:rsid w:val="00686A14"/>
    <w:rsid w:val="00686B15"/>
    <w:rsid w:val="00686FAD"/>
    <w:rsid w:val="0068721F"/>
    <w:rsid w:val="0068734D"/>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B"/>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96A"/>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CA3"/>
    <w:rsid w:val="006A5D5C"/>
    <w:rsid w:val="006A5E26"/>
    <w:rsid w:val="006A6B3F"/>
    <w:rsid w:val="006A6B69"/>
    <w:rsid w:val="006A6FA6"/>
    <w:rsid w:val="006A74C0"/>
    <w:rsid w:val="006A7574"/>
    <w:rsid w:val="006A79EE"/>
    <w:rsid w:val="006A7FEE"/>
    <w:rsid w:val="006B0489"/>
    <w:rsid w:val="006B05F5"/>
    <w:rsid w:val="006B065C"/>
    <w:rsid w:val="006B0A30"/>
    <w:rsid w:val="006B0EC7"/>
    <w:rsid w:val="006B1213"/>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5458"/>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1B"/>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846"/>
    <w:rsid w:val="006D0C09"/>
    <w:rsid w:val="006D0CC0"/>
    <w:rsid w:val="006D0E5E"/>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25F2"/>
    <w:rsid w:val="006E3D3A"/>
    <w:rsid w:val="006E43D6"/>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9C1"/>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89E"/>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675"/>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066"/>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3C05"/>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5C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0D68"/>
    <w:rsid w:val="0074108B"/>
    <w:rsid w:val="00741434"/>
    <w:rsid w:val="007415B6"/>
    <w:rsid w:val="00741A56"/>
    <w:rsid w:val="00741D92"/>
    <w:rsid w:val="007420C9"/>
    <w:rsid w:val="00742695"/>
    <w:rsid w:val="00742963"/>
    <w:rsid w:val="00742A51"/>
    <w:rsid w:val="00743114"/>
    <w:rsid w:val="00743347"/>
    <w:rsid w:val="00743468"/>
    <w:rsid w:val="007436B1"/>
    <w:rsid w:val="007436D5"/>
    <w:rsid w:val="00743867"/>
    <w:rsid w:val="00744055"/>
    <w:rsid w:val="00744230"/>
    <w:rsid w:val="0074443A"/>
    <w:rsid w:val="0074475B"/>
    <w:rsid w:val="00744E4F"/>
    <w:rsid w:val="00745423"/>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8B0"/>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7F"/>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9B2"/>
    <w:rsid w:val="00792AD3"/>
    <w:rsid w:val="00792BEC"/>
    <w:rsid w:val="00792ECC"/>
    <w:rsid w:val="00793774"/>
    <w:rsid w:val="00793901"/>
    <w:rsid w:val="007939C7"/>
    <w:rsid w:val="00793C67"/>
    <w:rsid w:val="00793F70"/>
    <w:rsid w:val="00794687"/>
    <w:rsid w:val="007947FB"/>
    <w:rsid w:val="00794BA8"/>
    <w:rsid w:val="00794DFE"/>
    <w:rsid w:val="007954AC"/>
    <w:rsid w:val="00795804"/>
    <w:rsid w:val="00795809"/>
    <w:rsid w:val="00795BA6"/>
    <w:rsid w:val="00795F7F"/>
    <w:rsid w:val="0079601B"/>
    <w:rsid w:val="007962E1"/>
    <w:rsid w:val="007969AC"/>
    <w:rsid w:val="00796B15"/>
    <w:rsid w:val="007972A8"/>
    <w:rsid w:val="00797DAA"/>
    <w:rsid w:val="00797FCF"/>
    <w:rsid w:val="007A0616"/>
    <w:rsid w:val="007A06E1"/>
    <w:rsid w:val="007A080E"/>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639"/>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448A"/>
    <w:rsid w:val="007B44DC"/>
    <w:rsid w:val="007B4543"/>
    <w:rsid w:val="007B4937"/>
    <w:rsid w:val="007B4D3D"/>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63B"/>
    <w:rsid w:val="007D1B7C"/>
    <w:rsid w:val="007D214A"/>
    <w:rsid w:val="007D2452"/>
    <w:rsid w:val="007D357E"/>
    <w:rsid w:val="007D3889"/>
    <w:rsid w:val="007D39D7"/>
    <w:rsid w:val="007D4217"/>
    <w:rsid w:val="007D478D"/>
    <w:rsid w:val="007D4838"/>
    <w:rsid w:val="007D4956"/>
    <w:rsid w:val="007D4C50"/>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D7ADE"/>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9D"/>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863"/>
    <w:rsid w:val="00803905"/>
    <w:rsid w:val="0080391A"/>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164"/>
    <w:rsid w:val="00810DE9"/>
    <w:rsid w:val="00810EAE"/>
    <w:rsid w:val="00811036"/>
    <w:rsid w:val="00812027"/>
    <w:rsid w:val="008123D5"/>
    <w:rsid w:val="008124FE"/>
    <w:rsid w:val="008127B0"/>
    <w:rsid w:val="00812D16"/>
    <w:rsid w:val="00812FE3"/>
    <w:rsid w:val="008138AD"/>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339"/>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2F9E"/>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9F"/>
    <w:rsid w:val="00846AC4"/>
    <w:rsid w:val="00846C77"/>
    <w:rsid w:val="00846E99"/>
    <w:rsid w:val="00847964"/>
    <w:rsid w:val="00847991"/>
    <w:rsid w:val="00847C4E"/>
    <w:rsid w:val="00847F69"/>
    <w:rsid w:val="00850AE8"/>
    <w:rsid w:val="00850B13"/>
    <w:rsid w:val="00850F18"/>
    <w:rsid w:val="00851B22"/>
    <w:rsid w:val="00851B91"/>
    <w:rsid w:val="00852338"/>
    <w:rsid w:val="0085297B"/>
    <w:rsid w:val="00852AA6"/>
    <w:rsid w:val="00853B42"/>
    <w:rsid w:val="00853C45"/>
    <w:rsid w:val="00854090"/>
    <w:rsid w:val="008540C8"/>
    <w:rsid w:val="00854983"/>
    <w:rsid w:val="00854A91"/>
    <w:rsid w:val="00854A9D"/>
    <w:rsid w:val="00854E0E"/>
    <w:rsid w:val="00856301"/>
    <w:rsid w:val="008563C6"/>
    <w:rsid w:val="0085653C"/>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A4"/>
    <w:rsid w:val="008620C2"/>
    <w:rsid w:val="00862173"/>
    <w:rsid w:val="00862290"/>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12B"/>
    <w:rsid w:val="008742CE"/>
    <w:rsid w:val="00874E33"/>
    <w:rsid w:val="00874FAC"/>
    <w:rsid w:val="0087504C"/>
    <w:rsid w:val="00875755"/>
    <w:rsid w:val="00875905"/>
    <w:rsid w:val="00875F79"/>
    <w:rsid w:val="00875FBD"/>
    <w:rsid w:val="00876242"/>
    <w:rsid w:val="00876AC7"/>
    <w:rsid w:val="00876CF0"/>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881"/>
    <w:rsid w:val="00885D5D"/>
    <w:rsid w:val="00885EC9"/>
    <w:rsid w:val="00885F46"/>
    <w:rsid w:val="00885F7A"/>
    <w:rsid w:val="00886223"/>
    <w:rsid w:val="0088651F"/>
    <w:rsid w:val="00886DA7"/>
    <w:rsid w:val="0088704A"/>
    <w:rsid w:val="008876DF"/>
    <w:rsid w:val="00887771"/>
    <w:rsid w:val="008878C4"/>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04F3"/>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4B35"/>
    <w:rsid w:val="008B5110"/>
    <w:rsid w:val="008B5448"/>
    <w:rsid w:val="008B5577"/>
    <w:rsid w:val="008B60ED"/>
    <w:rsid w:val="008B66CB"/>
    <w:rsid w:val="008B6E5C"/>
    <w:rsid w:val="008B6EEA"/>
    <w:rsid w:val="008B7B36"/>
    <w:rsid w:val="008B7E07"/>
    <w:rsid w:val="008C0A0F"/>
    <w:rsid w:val="008C1161"/>
    <w:rsid w:val="008C1189"/>
    <w:rsid w:val="008C13E2"/>
    <w:rsid w:val="008C18DE"/>
    <w:rsid w:val="008C19D5"/>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E70"/>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1DBF"/>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CC8"/>
    <w:rsid w:val="00917B17"/>
    <w:rsid w:val="00920471"/>
    <w:rsid w:val="0092078E"/>
    <w:rsid w:val="00920848"/>
    <w:rsid w:val="00920DBA"/>
    <w:rsid w:val="009216BF"/>
    <w:rsid w:val="009218D2"/>
    <w:rsid w:val="00921A44"/>
    <w:rsid w:val="00921A74"/>
    <w:rsid w:val="00921C9F"/>
    <w:rsid w:val="00921ED5"/>
    <w:rsid w:val="00921FA1"/>
    <w:rsid w:val="009225B6"/>
    <w:rsid w:val="00922B56"/>
    <w:rsid w:val="00923151"/>
    <w:rsid w:val="009235CF"/>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D15"/>
    <w:rsid w:val="00937E0F"/>
    <w:rsid w:val="00940A5D"/>
    <w:rsid w:val="00940BCB"/>
    <w:rsid w:val="00940D85"/>
    <w:rsid w:val="00940DF4"/>
    <w:rsid w:val="00940FB5"/>
    <w:rsid w:val="00941259"/>
    <w:rsid w:val="0094148B"/>
    <w:rsid w:val="00941A1C"/>
    <w:rsid w:val="00941B06"/>
    <w:rsid w:val="00941B97"/>
    <w:rsid w:val="009421B3"/>
    <w:rsid w:val="00942BB8"/>
    <w:rsid w:val="00942E21"/>
    <w:rsid w:val="00942EF9"/>
    <w:rsid w:val="0094335F"/>
    <w:rsid w:val="009435B0"/>
    <w:rsid w:val="0094376F"/>
    <w:rsid w:val="00944202"/>
    <w:rsid w:val="00944335"/>
    <w:rsid w:val="0094484A"/>
    <w:rsid w:val="00944AF4"/>
    <w:rsid w:val="009455F7"/>
    <w:rsid w:val="00945A35"/>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5E94"/>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82B"/>
    <w:rsid w:val="009B2E47"/>
    <w:rsid w:val="009B3685"/>
    <w:rsid w:val="009B36C4"/>
    <w:rsid w:val="009B3745"/>
    <w:rsid w:val="009B3C79"/>
    <w:rsid w:val="009B3D47"/>
    <w:rsid w:val="009B4250"/>
    <w:rsid w:val="009B4821"/>
    <w:rsid w:val="009B4C1C"/>
    <w:rsid w:val="009B4C24"/>
    <w:rsid w:val="009B5821"/>
    <w:rsid w:val="009B69DC"/>
    <w:rsid w:val="009B70E9"/>
    <w:rsid w:val="009B727B"/>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A78"/>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314"/>
    <w:rsid w:val="009E7789"/>
    <w:rsid w:val="009E7E9B"/>
    <w:rsid w:val="009F0258"/>
    <w:rsid w:val="009F02E1"/>
    <w:rsid w:val="009F056D"/>
    <w:rsid w:val="009F07FC"/>
    <w:rsid w:val="009F0992"/>
    <w:rsid w:val="009F0CD1"/>
    <w:rsid w:val="009F187B"/>
    <w:rsid w:val="009F1933"/>
    <w:rsid w:val="009F2332"/>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1D85"/>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11B2"/>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366"/>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6E9"/>
    <w:rsid w:val="00A3393A"/>
    <w:rsid w:val="00A34685"/>
    <w:rsid w:val="00A34DA0"/>
    <w:rsid w:val="00A35A0B"/>
    <w:rsid w:val="00A35BD0"/>
    <w:rsid w:val="00A35F8D"/>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92E"/>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204"/>
    <w:rsid w:val="00A6065A"/>
    <w:rsid w:val="00A606AC"/>
    <w:rsid w:val="00A609BC"/>
    <w:rsid w:val="00A60B4F"/>
    <w:rsid w:val="00A60E20"/>
    <w:rsid w:val="00A60EBB"/>
    <w:rsid w:val="00A60EDF"/>
    <w:rsid w:val="00A615A0"/>
    <w:rsid w:val="00A615AF"/>
    <w:rsid w:val="00A61828"/>
    <w:rsid w:val="00A6189D"/>
    <w:rsid w:val="00A619B5"/>
    <w:rsid w:val="00A61CE9"/>
    <w:rsid w:val="00A61E76"/>
    <w:rsid w:val="00A61F65"/>
    <w:rsid w:val="00A621F3"/>
    <w:rsid w:val="00A623EF"/>
    <w:rsid w:val="00A62454"/>
    <w:rsid w:val="00A627E0"/>
    <w:rsid w:val="00A62953"/>
    <w:rsid w:val="00A62BE9"/>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29E2"/>
    <w:rsid w:val="00A73242"/>
    <w:rsid w:val="00A73873"/>
    <w:rsid w:val="00A739AB"/>
    <w:rsid w:val="00A73D4C"/>
    <w:rsid w:val="00A744A2"/>
    <w:rsid w:val="00A74598"/>
    <w:rsid w:val="00A745D9"/>
    <w:rsid w:val="00A74E04"/>
    <w:rsid w:val="00A74F47"/>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743"/>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9F2"/>
    <w:rsid w:val="00AA2CD8"/>
    <w:rsid w:val="00AA30A2"/>
    <w:rsid w:val="00AA3BB9"/>
    <w:rsid w:val="00AA461D"/>
    <w:rsid w:val="00AA48AB"/>
    <w:rsid w:val="00AA4C09"/>
    <w:rsid w:val="00AA4F41"/>
    <w:rsid w:val="00AA5584"/>
    <w:rsid w:val="00AA576F"/>
    <w:rsid w:val="00AA6026"/>
    <w:rsid w:val="00AA6206"/>
    <w:rsid w:val="00AA630A"/>
    <w:rsid w:val="00AA6635"/>
    <w:rsid w:val="00AA69EF"/>
    <w:rsid w:val="00AA6DF3"/>
    <w:rsid w:val="00AA6F21"/>
    <w:rsid w:val="00AA6F9A"/>
    <w:rsid w:val="00AA723B"/>
    <w:rsid w:val="00AA7C4F"/>
    <w:rsid w:val="00AA7D16"/>
    <w:rsid w:val="00AB001C"/>
    <w:rsid w:val="00AB02C8"/>
    <w:rsid w:val="00AB04AF"/>
    <w:rsid w:val="00AB05BC"/>
    <w:rsid w:val="00AB06B8"/>
    <w:rsid w:val="00AB06E6"/>
    <w:rsid w:val="00AB0ADE"/>
    <w:rsid w:val="00AB0B26"/>
    <w:rsid w:val="00AB0B59"/>
    <w:rsid w:val="00AB0CA0"/>
    <w:rsid w:val="00AB102D"/>
    <w:rsid w:val="00AB15B5"/>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607B"/>
    <w:rsid w:val="00AB642C"/>
    <w:rsid w:val="00AB644A"/>
    <w:rsid w:val="00AB6458"/>
    <w:rsid w:val="00AB6CA0"/>
    <w:rsid w:val="00AB76D5"/>
    <w:rsid w:val="00AB7787"/>
    <w:rsid w:val="00AB78AC"/>
    <w:rsid w:val="00AB78E2"/>
    <w:rsid w:val="00AB7913"/>
    <w:rsid w:val="00AB7F47"/>
    <w:rsid w:val="00AC0169"/>
    <w:rsid w:val="00AC0CC3"/>
    <w:rsid w:val="00AC1281"/>
    <w:rsid w:val="00AC1554"/>
    <w:rsid w:val="00AC18D2"/>
    <w:rsid w:val="00AC21BA"/>
    <w:rsid w:val="00AC22C7"/>
    <w:rsid w:val="00AC2CD3"/>
    <w:rsid w:val="00AC2D4E"/>
    <w:rsid w:val="00AC3084"/>
    <w:rsid w:val="00AC32A6"/>
    <w:rsid w:val="00AC3431"/>
    <w:rsid w:val="00AC38E9"/>
    <w:rsid w:val="00AC45D6"/>
    <w:rsid w:val="00AC4D1B"/>
    <w:rsid w:val="00AC4D53"/>
    <w:rsid w:val="00AC4D9E"/>
    <w:rsid w:val="00AC4E2E"/>
    <w:rsid w:val="00AC4FC8"/>
    <w:rsid w:val="00AC5C2A"/>
    <w:rsid w:val="00AC61B3"/>
    <w:rsid w:val="00AC63F4"/>
    <w:rsid w:val="00AC6786"/>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433"/>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58"/>
    <w:rsid w:val="00AE69BD"/>
    <w:rsid w:val="00AE6D12"/>
    <w:rsid w:val="00AE70A8"/>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88D"/>
    <w:rsid w:val="00B04AD7"/>
    <w:rsid w:val="00B04D36"/>
    <w:rsid w:val="00B04F11"/>
    <w:rsid w:val="00B0540A"/>
    <w:rsid w:val="00B05688"/>
    <w:rsid w:val="00B0588E"/>
    <w:rsid w:val="00B06122"/>
    <w:rsid w:val="00B06771"/>
    <w:rsid w:val="00B06C77"/>
    <w:rsid w:val="00B07390"/>
    <w:rsid w:val="00B075EC"/>
    <w:rsid w:val="00B076A7"/>
    <w:rsid w:val="00B076C4"/>
    <w:rsid w:val="00B07AAD"/>
    <w:rsid w:val="00B07CBE"/>
    <w:rsid w:val="00B07FC0"/>
    <w:rsid w:val="00B10620"/>
    <w:rsid w:val="00B108ED"/>
    <w:rsid w:val="00B10931"/>
    <w:rsid w:val="00B1093D"/>
    <w:rsid w:val="00B10BE8"/>
    <w:rsid w:val="00B10DF3"/>
    <w:rsid w:val="00B1167A"/>
    <w:rsid w:val="00B11882"/>
    <w:rsid w:val="00B11DF4"/>
    <w:rsid w:val="00B11E29"/>
    <w:rsid w:val="00B12153"/>
    <w:rsid w:val="00B1220D"/>
    <w:rsid w:val="00B12603"/>
    <w:rsid w:val="00B12A8C"/>
    <w:rsid w:val="00B13003"/>
    <w:rsid w:val="00B137BE"/>
    <w:rsid w:val="00B13829"/>
    <w:rsid w:val="00B13928"/>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BFF"/>
    <w:rsid w:val="00B33F7C"/>
    <w:rsid w:val="00B34390"/>
    <w:rsid w:val="00B343A0"/>
    <w:rsid w:val="00B3442C"/>
    <w:rsid w:val="00B34BF9"/>
    <w:rsid w:val="00B3539A"/>
    <w:rsid w:val="00B35CB3"/>
    <w:rsid w:val="00B35F8E"/>
    <w:rsid w:val="00B3622C"/>
    <w:rsid w:val="00B37188"/>
    <w:rsid w:val="00B37CE2"/>
    <w:rsid w:val="00B4003E"/>
    <w:rsid w:val="00B40292"/>
    <w:rsid w:val="00B406B2"/>
    <w:rsid w:val="00B40B2D"/>
    <w:rsid w:val="00B40D73"/>
    <w:rsid w:val="00B4110D"/>
    <w:rsid w:val="00B411A3"/>
    <w:rsid w:val="00B412CB"/>
    <w:rsid w:val="00B416D8"/>
    <w:rsid w:val="00B41B34"/>
    <w:rsid w:val="00B426DE"/>
    <w:rsid w:val="00B42879"/>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8E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0C8"/>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06"/>
    <w:rsid w:val="00B6796C"/>
    <w:rsid w:val="00B67B2B"/>
    <w:rsid w:val="00B7021B"/>
    <w:rsid w:val="00B70333"/>
    <w:rsid w:val="00B7066A"/>
    <w:rsid w:val="00B70A49"/>
    <w:rsid w:val="00B70EDB"/>
    <w:rsid w:val="00B71A5D"/>
    <w:rsid w:val="00B7210A"/>
    <w:rsid w:val="00B72283"/>
    <w:rsid w:val="00B724AF"/>
    <w:rsid w:val="00B7273B"/>
    <w:rsid w:val="00B727B8"/>
    <w:rsid w:val="00B73453"/>
    <w:rsid w:val="00B737C7"/>
    <w:rsid w:val="00B73E00"/>
    <w:rsid w:val="00B73E31"/>
    <w:rsid w:val="00B74A0D"/>
    <w:rsid w:val="00B74B6E"/>
    <w:rsid w:val="00B74EC0"/>
    <w:rsid w:val="00B75542"/>
    <w:rsid w:val="00B75667"/>
    <w:rsid w:val="00B75A5C"/>
    <w:rsid w:val="00B762A5"/>
    <w:rsid w:val="00B7646F"/>
    <w:rsid w:val="00B77062"/>
    <w:rsid w:val="00B7709F"/>
    <w:rsid w:val="00B770A1"/>
    <w:rsid w:val="00B77104"/>
    <w:rsid w:val="00B774CC"/>
    <w:rsid w:val="00B77570"/>
    <w:rsid w:val="00B77B57"/>
    <w:rsid w:val="00B77B98"/>
    <w:rsid w:val="00B77D8A"/>
    <w:rsid w:val="00B80098"/>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3FD0"/>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46F"/>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B0A"/>
    <w:rsid w:val="00B95C49"/>
    <w:rsid w:val="00B95EEF"/>
    <w:rsid w:val="00B95FD7"/>
    <w:rsid w:val="00B96228"/>
    <w:rsid w:val="00B96313"/>
    <w:rsid w:val="00B96325"/>
    <w:rsid w:val="00B96AEF"/>
    <w:rsid w:val="00B96CF0"/>
    <w:rsid w:val="00B96DA2"/>
    <w:rsid w:val="00B977E6"/>
    <w:rsid w:val="00BA032B"/>
    <w:rsid w:val="00BA067F"/>
    <w:rsid w:val="00BA13E0"/>
    <w:rsid w:val="00BA1758"/>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3FC6"/>
    <w:rsid w:val="00BA40BE"/>
    <w:rsid w:val="00BA43B3"/>
    <w:rsid w:val="00BA48E0"/>
    <w:rsid w:val="00BA4A1E"/>
    <w:rsid w:val="00BA4CF4"/>
    <w:rsid w:val="00BA4DE1"/>
    <w:rsid w:val="00BA54FB"/>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6E03"/>
    <w:rsid w:val="00BC71C5"/>
    <w:rsid w:val="00BC7659"/>
    <w:rsid w:val="00BC78D4"/>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4F51"/>
    <w:rsid w:val="00BD5586"/>
    <w:rsid w:val="00BD5A26"/>
    <w:rsid w:val="00BD5A74"/>
    <w:rsid w:val="00BD5D4D"/>
    <w:rsid w:val="00BD5F3A"/>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10"/>
    <w:rsid w:val="00BE68B9"/>
    <w:rsid w:val="00BE7265"/>
    <w:rsid w:val="00BE75C4"/>
    <w:rsid w:val="00BE7B27"/>
    <w:rsid w:val="00BE7FCE"/>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89A"/>
    <w:rsid w:val="00C07A6C"/>
    <w:rsid w:val="00C07A84"/>
    <w:rsid w:val="00C07ABA"/>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74B"/>
    <w:rsid w:val="00C12EB5"/>
    <w:rsid w:val="00C1328A"/>
    <w:rsid w:val="00C13504"/>
    <w:rsid w:val="00C13930"/>
    <w:rsid w:val="00C13C8A"/>
    <w:rsid w:val="00C13F22"/>
    <w:rsid w:val="00C140FE"/>
    <w:rsid w:val="00C14346"/>
    <w:rsid w:val="00C14691"/>
    <w:rsid w:val="00C14A02"/>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5B3"/>
    <w:rsid w:val="00C176B6"/>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662"/>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7F8"/>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3FAE"/>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A92"/>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52A"/>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229"/>
    <w:rsid w:val="00C917A8"/>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A85"/>
    <w:rsid w:val="00CA6BDF"/>
    <w:rsid w:val="00CB01BC"/>
    <w:rsid w:val="00CB03CF"/>
    <w:rsid w:val="00CB040F"/>
    <w:rsid w:val="00CB047F"/>
    <w:rsid w:val="00CB11BD"/>
    <w:rsid w:val="00CB1368"/>
    <w:rsid w:val="00CB167F"/>
    <w:rsid w:val="00CB1F2A"/>
    <w:rsid w:val="00CB299C"/>
    <w:rsid w:val="00CB2BBA"/>
    <w:rsid w:val="00CB336C"/>
    <w:rsid w:val="00CB35ED"/>
    <w:rsid w:val="00CB36B3"/>
    <w:rsid w:val="00CB39EB"/>
    <w:rsid w:val="00CB41E7"/>
    <w:rsid w:val="00CB480A"/>
    <w:rsid w:val="00CB4D89"/>
    <w:rsid w:val="00CB4FA5"/>
    <w:rsid w:val="00CB5008"/>
    <w:rsid w:val="00CB50EE"/>
    <w:rsid w:val="00CB58DD"/>
    <w:rsid w:val="00CB617B"/>
    <w:rsid w:val="00CB6343"/>
    <w:rsid w:val="00CB6517"/>
    <w:rsid w:val="00CB6660"/>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1F6D"/>
    <w:rsid w:val="00CC27F5"/>
    <w:rsid w:val="00CC2D18"/>
    <w:rsid w:val="00CC2EFE"/>
    <w:rsid w:val="00CC32B0"/>
    <w:rsid w:val="00CC3BE5"/>
    <w:rsid w:val="00CC3D8D"/>
    <w:rsid w:val="00CC3E8C"/>
    <w:rsid w:val="00CC400F"/>
    <w:rsid w:val="00CC421A"/>
    <w:rsid w:val="00CC4365"/>
    <w:rsid w:val="00CC4C5E"/>
    <w:rsid w:val="00CC4CD7"/>
    <w:rsid w:val="00CC4F58"/>
    <w:rsid w:val="00CC57AE"/>
    <w:rsid w:val="00CC606C"/>
    <w:rsid w:val="00CC620F"/>
    <w:rsid w:val="00CC693C"/>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6F"/>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37D"/>
    <w:rsid w:val="00CD6823"/>
    <w:rsid w:val="00CD69A0"/>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C4C"/>
    <w:rsid w:val="00CE5E50"/>
    <w:rsid w:val="00CE630B"/>
    <w:rsid w:val="00CE6691"/>
    <w:rsid w:val="00CE69F3"/>
    <w:rsid w:val="00CE6AD5"/>
    <w:rsid w:val="00CE6C1B"/>
    <w:rsid w:val="00CE6E24"/>
    <w:rsid w:val="00CE7392"/>
    <w:rsid w:val="00CE76BD"/>
    <w:rsid w:val="00CE77CF"/>
    <w:rsid w:val="00CE781A"/>
    <w:rsid w:val="00CE7BC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576"/>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B35"/>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48D"/>
    <w:rsid w:val="00D23556"/>
    <w:rsid w:val="00D239F9"/>
    <w:rsid w:val="00D23A1F"/>
    <w:rsid w:val="00D23B89"/>
    <w:rsid w:val="00D23CE2"/>
    <w:rsid w:val="00D244D5"/>
    <w:rsid w:val="00D249B9"/>
    <w:rsid w:val="00D24D04"/>
    <w:rsid w:val="00D25866"/>
    <w:rsid w:val="00D25A61"/>
    <w:rsid w:val="00D25E03"/>
    <w:rsid w:val="00D261FB"/>
    <w:rsid w:val="00D26283"/>
    <w:rsid w:val="00D263B5"/>
    <w:rsid w:val="00D26586"/>
    <w:rsid w:val="00D2664C"/>
    <w:rsid w:val="00D2670D"/>
    <w:rsid w:val="00D26B2E"/>
    <w:rsid w:val="00D26DBE"/>
    <w:rsid w:val="00D26E4D"/>
    <w:rsid w:val="00D26FB4"/>
    <w:rsid w:val="00D27AAD"/>
    <w:rsid w:val="00D27DC2"/>
    <w:rsid w:val="00D27F01"/>
    <w:rsid w:val="00D30373"/>
    <w:rsid w:val="00D30437"/>
    <w:rsid w:val="00D30912"/>
    <w:rsid w:val="00D309B2"/>
    <w:rsid w:val="00D309D3"/>
    <w:rsid w:val="00D30C40"/>
    <w:rsid w:val="00D30C46"/>
    <w:rsid w:val="00D30FC7"/>
    <w:rsid w:val="00D31B9F"/>
    <w:rsid w:val="00D31BEA"/>
    <w:rsid w:val="00D33313"/>
    <w:rsid w:val="00D333D7"/>
    <w:rsid w:val="00D33410"/>
    <w:rsid w:val="00D33418"/>
    <w:rsid w:val="00D33458"/>
    <w:rsid w:val="00D33AFC"/>
    <w:rsid w:val="00D33C0E"/>
    <w:rsid w:val="00D33C18"/>
    <w:rsid w:val="00D3410B"/>
    <w:rsid w:val="00D344C9"/>
    <w:rsid w:val="00D34D40"/>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4CF1"/>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44D"/>
    <w:rsid w:val="00D504E2"/>
    <w:rsid w:val="00D50697"/>
    <w:rsid w:val="00D50C82"/>
    <w:rsid w:val="00D50E5E"/>
    <w:rsid w:val="00D50F95"/>
    <w:rsid w:val="00D5102A"/>
    <w:rsid w:val="00D512D1"/>
    <w:rsid w:val="00D513F0"/>
    <w:rsid w:val="00D51565"/>
    <w:rsid w:val="00D5169C"/>
    <w:rsid w:val="00D51AAF"/>
    <w:rsid w:val="00D51F84"/>
    <w:rsid w:val="00D52029"/>
    <w:rsid w:val="00D52200"/>
    <w:rsid w:val="00D52400"/>
    <w:rsid w:val="00D527A2"/>
    <w:rsid w:val="00D52A9A"/>
    <w:rsid w:val="00D52E1D"/>
    <w:rsid w:val="00D53768"/>
    <w:rsid w:val="00D537B0"/>
    <w:rsid w:val="00D53D4D"/>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335"/>
    <w:rsid w:val="00D6447E"/>
    <w:rsid w:val="00D645BF"/>
    <w:rsid w:val="00D647F9"/>
    <w:rsid w:val="00D6485C"/>
    <w:rsid w:val="00D64CB8"/>
    <w:rsid w:val="00D65404"/>
    <w:rsid w:val="00D6575A"/>
    <w:rsid w:val="00D65837"/>
    <w:rsid w:val="00D65DD6"/>
    <w:rsid w:val="00D66008"/>
    <w:rsid w:val="00D66022"/>
    <w:rsid w:val="00D66065"/>
    <w:rsid w:val="00D66446"/>
    <w:rsid w:val="00D66C66"/>
    <w:rsid w:val="00D66DAA"/>
    <w:rsid w:val="00D671EF"/>
    <w:rsid w:val="00D6786C"/>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87"/>
    <w:rsid w:val="00D86095"/>
    <w:rsid w:val="00D86ACF"/>
    <w:rsid w:val="00D86B37"/>
    <w:rsid w:val="00D86EF6"/>
    <w:rsid w:val="00D87154"/>
    <w:rsid w:val="00D87179"/>
    <w:rsid w:val="00D876FB"/>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4E0D"/>
    <w:rsid w:val="00DA5CA9"/>
    <w:rsid w:val="00DA5E7E"/>
    <w:rsid w:val="00DA6F5B"/>
    <w:rsid w:val="00DA714A"/>
    <w:rsid w:val="00DA71AF"/>
    <w:rsid w:val="00DA727D"/>
    <w:rsid w:val="00DA7A85"/>
    <w:rsid w:val="00DA7BC7"/>
    <w:rsid w:val="00DA7E4C"/>
    <w:rsid w:val="00DA7EC1"/>
    <w:rsid w:val="00DB0564"/>
    <w:rsid w:val="00DB0C84"/>
    <w:rsid w:val="00DB0D5D"/>
    <w:rsid w:val="00DB1539"/>
    <w:rsid w:val="00DB1F92"/>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6B3"/>
    <w:rsid w:val="00DB7E8C"/>
    <w:rsid w:val="00DC0266"/>
    <w:rsid w:val="00DC0384"/>
    <w:rsid w:val="00DC09B0"/>
    <w:rsid w:val="00DC0F93"/>
    <w:rsid w:val="00DC1384"/>
    <w:rsid w:val="00DC1479"/>
    <w:rsid w:val="00DC1624"/>
    <w:rsid w:val="00DC1763"/>
    <w:rsid w:val="00DC1FCC"/>
    <w:rsid w:val="00DC22B7"/>
    <w:rsid w:val="00DC257F"/>
    <w:rsid w:val="00DC2652"/>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462"/>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C9F"/>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1FC0"/>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10AA"/>
    <w:rsid w:val="00E11C6B"/>
    <w:rsid w:val="00E11EB8"/>
    <w:rsid w:val="00E1273A"/>
    <w:rsid w:val="00E12933"/>
    <w:rsid w:val="00E12A5A"/>
    <w:rsid w:val="00E12AF0"/>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3CC7"/>
    <w:rsid w:val="00E24077"/>
    <w:rsid w:val="00E24364"/>
    <w:rsid w:val="00E24553"/>
    <w:rsid w:val="00E24B50"/>
    <w:rsid w:val="00E24D56"/>
    <w:rsid w:val="00E24ECA"/>
    <w:rsid w:val="00E250DB"/>
    <w:rsid w:val="00E252D6"/>
    <w:rsid w:val="00E25328"/>
    <w:rsid w:val="00E25334"/>
    <w:rsid w:val="00E25F1D"/>
    <w:rsid w:val="00E25F49"/>
    <w:rsid w:val="00E26079"/>
    <w:rsid w:val="00E2617B"/>
    <w:rsid w:val="00E26224"/>
    <w:rsid w:val="00E2690E"/>
    <w:rsid w:val="00E272FE"/>
    <w:rsid w:val="00E30063"/>
    <w:rsid w:val="00E30107"/>
    <w:rsid w:val="00E30517"/>
    <w:rsid w:val="00E3070A"/>
    <w:rsid w:val="00E30A72"/>
    <w:rsid w:val="00E30DB2"/>
    <w:rsid w:val="00E31506"/>
    <w:rsid w:val="00E31E9D"/>
    <w:rsid w:val="00E3200D"/>
    <w:rsid w:val="00E32E0E"/>
    <w:rsid w:val="00E3305B"/>
    <w:rsid w:val="00E33506"/>
    <w:rsid w:val="00E33802"/>
    <w:rsid w:val="00E33814"/>
    <w:rsid w:val="00E339C6"/>
    <w:rsid w:val="00E33B8C"/>
    <w:rsid w:val="00E33E4D"/>
    <w:rsid w:val="00E34D6F"/>
    <w:rsid w:val="00E34F08"/>
    <w:rsid w:val="00E354D7"/>
    <w:rsid w:val="00E35698"/>
    <w:rsid w:val="00E35AC2"/>
    <w:rsid w:val="00E35EB9"/>
    <w:rsid w:val="00E35F47"/>
    <w:rsid w:val="00E3610B"/>
    <w:rsid w:val="00E363B9"/>
    <w:rsid w:val="00E36400"/>
    <w:rsid w:val="00E36AED"/>
    <w:rsid w:val="00E377BF"/>
    <w:rsid w:val="00E37C25"/>
    <w:rsid w:val="00E40362"/>
    <w:rsid w:val="00E40857"/>
    <w:rsid w:val="00E4172A"/>
    <w:rsid w:val="00E41BAC"/>
    <w:rsid w:val="00E421FE"/>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13"/>
    <w:rsid w:val="00E62DDA"/>
    <w:rsid w:val="00E630F7"/>
    <w:rsid w:val="00E635FE"/>
    <w:rsid w:val="00E63A8C"/>
    <w:rsid w:val="00E64126"/>
    <w:rsid w:val="00E643D0"/>
    <w:rsid w:val="00E64763"/>
    <w:rsid w:val="00E647DC"/>
    <w:rsid w:val="00E6484F"/>
    <w:rsid w:val="00E64B4F"/>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0AA4"/>
    <w:rsid w:val="00E80BA7"/>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3641"/>
    <w:rsid w:val="00EA3743"/>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5DC"/>
    <w:rsid w:val="00EB06A0"/>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BDB"/>
    <w:rsid w:val="00EC4D77"/>
    <w:rsid w:val="00EC4D7B"/>
    <w:rsid w:val="00EC4DA5"/>
    <w:rsid w:val="00EC4E2E"/>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3F29"/>
    <w:rsid w:val="00ED40CC"/>
    <w:rsid w:val="00ED4206"/>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486"/>
    <w:rsid w:val="00EE4825"/>
    <w:rsid w:val="00EE5112"/>
    <w:rsid w:val="00EE58F6"/>
    <w:rsid w:val="00EE62B4"/>
    <w:rsid w:val="00EE636D"/>
    <w:rsid w:val="00EE66B1"/>
    <w:rsid w:val="00EE752C"/>
    <w:rsid w:val="00EE7D91"/>
    <w:rsid w:val="00EE7DEB"/>
    <w:rsid w:val="00EE7ECE"/>
    <w:rsid w:val="00EE7F2E"/>
    <w:rsid w:val="00EF0662"/>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5BE"/>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B87"/>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01A"/>
    <w:rsid w:val="00F06F02"/>
    <w:rsid w:val="00F10437"/>
    <w:rsid w:val="00F10465"/>
    <w:rsid w:val="00F10864"/>
    <w:rsid w:val="00F1165E"/>
    <w:rsid w:val="00F11CF5"/>
    <w:rsid w:val="00F12B3D"/>
    <w:rsid w:val="00F13242"/>
    <w:rsid w:val="00F1403E"/>
    <w:rsid w:val="00F140FE"/>
    <w:rsid w:val="00F1415B"/>
    <w:rsid w:val="00F14BC2"/>
    <w:rsid w:val="00F14FB4"/>
    <w:rsid w:val="00F165FF"/>
    <w:rsid w:val="00F16BB1"/>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EAC"/>
    <w:rsid w:val="00F21F61"/>
    <w:rsid w:val="00F221EB"/>
    <w:rsid w:val="00F22380"/>
    <w:rsid w:val="00F22444"/>
    <w:rsid w:val="00F22C96"/>
    <w:rsid w:val="00F22DE6"/>
    <w:rsid w:val="00F22E29"/>
    <w:rsid w:val="00F22FC1"/>
    <w:rsid w:val="00F2357F"/>
    <w:rsid w:val="00F23BD0"/>
    <w:rsid w:val="00F23D7A"/>
    <w:rsid w:val="00F23E90"/>
    <w:rsid w:val="00F23FCA"/>
    <w:rsid w:val="00F2456B"/>
    <w:rsid w:val="00F2457D"/>
    <w:rsid w:val="00F24A57"/>
    <w:rsid w:val="00F24D96"/>
    <w:rsid w:val="00F24F4D"/>
    <w:rsid w:val="00F24FA0"/>
    <w:rsid w:val="00F25157"/>
    <w:rsid w:val="00F25D07"/>
    <w:rsid w:val="00F25EB4"/>
    <w:rsid w:val="00F25F62"/>
    <w:rsid w:val="00F26082"/>
    <w:rsid w:val="00F2617C"/>
    <w:rsid w:val="00F2617E"/>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33E"/>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4833"/>
    <w:rsid w:val="00F4536D"/>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7F5"/>
    <w:rsid w:val="00F548C8"/>
    <w:rsid w:val="00F54B39"/>
    <w:rsid w:val="00F550B5"/>
    <w:rsid w:val="00F55214"/>
    <w:rsid w:val="00F553D1"/>
    <w:rsid w:val="00F55806"/>
    <w:rsid w:val="00F558E3"/>
    <w:rsid w:val="00F55AC5"/>
    <w:rsid w:val="00F564B4"/>
    <w:rsid w:val="00F56D31"/>
    <w:rsid w:val="00F57183"/>
    <w:rsid w:val="00F5765A"/>
    <w:rsid w:val="00F579EE"/>
    <w:rsid w:val="00F57C72"/>
    <w:rsid w:val="00F57E51"/>
    <w:rsid w:val="00F6021A"/>
    <w:rsid w:val="00F6021F"/>
    <w:rsid w:val="00F60845"/>
    <w:rsid w:val="00F60C1C"/>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035"/>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6A"/>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6EED"/>
    <w:rsid w:val="00F77028"/>
    <w:rsid w:val="00F77448"/>
    <w:rsid w:val="00F7792A"/>
    <w:rsid w:val="00F77C47"/>
    <w:rsid w:val="00F77CFA"/>
    <w:rsid w:val="00F802D3"/>
    <w:rsid w:val="00F80A32"/>
    <w:rsid w:val="00F80D8F"/>
    <w:rsid w:val="00F81032"/>
    <w:rsid w:val="00F8116A"/>
    <w:rsid w:val="00F81311"/>
    <w:rsid w:val="00F81625"/>
    <w:rsid w:val="00F81A54"/>
    <w:rsid w:val="00F81A7F"/>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9A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5E72"/>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AA"/>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94"/>
    <w:rsid w:val="00FE3100"/>
    <w:rsid w:val="00FE3768"/>
    <w:rsid w:val="00FE3D47"/>
    <w:rsid w:val="00FE3DD4"/>
    <w:rsid w:val="00FE42C4"/>
    <w:rsid w:val="00FE45F9"/>
    <w:rsid w:val="00FE47B0"/>
    <w:rsid w:val="00FE490F"/>
    <w:rsid w:val="00FE5172"/>
    <w:rsid w:val="00FE5236"/>
    <w:rsid w:val="00FE563A"/>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B65781"/>
  <w15:docId w15:val="{61E764BF-3BF0-40D0-BDDF-DBC7D417A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CF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D64335"/>
    <w:pPr>
      <w:numPr>
        <w:ilvl w:val="1"/>
      </w:numPr>
      <w:pBdr>
        <w:top w:val="none" w:sz="0" w:space="0" w:color="auto"/>
      </w:pBdr>
      <w:spacing w:before="180"/>
      <w:ind w:left="567"/>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681018"/>
    <w:pPr>
      <w:numPr>
        <w:ilvl w:val="3"/>
      </w:numPr>
      <w:ind w:left="864"/>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3"/>
    <w:next w:val="Normal"/>
    <w:qFormat/>
    <w:rsid w:val="00D64335"/>
    <w:p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D64335"/>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681018"/>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82433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3GPPAgreements">
    <w:name w:val="3GPP Agreements"/>
    <w:basedOn w:val="Normal"/>
    <w:link w:val="3GPPAgreementsChar"/>
    <w:qFormat/>
    <w:rsid w:val="0087412B"/>
    <w:pPr>
      <w:numPr>
        <w:numId w:val="4"/>
      </w:numPr>
      <w:spacing w:before="60" w:after="60"/>
      <w:jc w:val="both"/>
    </w:pPr>
    <w:rPr>
      <w:sz w:val="22"/>
      <w:lang w:eastAsia="zh-CN"/>
    </w:rPr>
  </w:style>
  <w:style w:type="character" w:customStyle="1" w:styleId="3GPPAgreementsChar">
    <w:name w:val="3GPP Agreements Char"/>
    <w:link w:val="3GPPAgreements"/>
    <w:rsid w:val="0087412B"/>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6735755">
      <w:bodyDiv w:val="1"/>
      <w:marLeft w:val="0"/>
      <w:marRight w:val="0"/>
      <w:marTop w:val="0"/>
      <w:marBottom w:val="0"/>
      <w:divBdr>
        <w:top w:val="none" w:sz="0" w:space="0" w:color="auto"/>
        <w:left w:val="none" w:sz="0" w:space="0" w:color="auto"/>
        <w:bottom w:val="none" w:sz="0" w:space="0" w:color="auto"/>
        <w:right w:val="none" w:sz="0" w:space="0" w:color="auto"/>
      </w:divBdr>
      <w:divsChild>
        <w:div w:id="990527280">
          <w:marLeft w:val="1166"/>
          <w:marRight w:val="0"/>
          <w:marTop w:val="77"/>
          <w:marBottom w:val="0"/>
          <w:divBdr>
            <w:top w:val="none" w:sz="0" w:space="0" w:color="auto"/>
            <w:left w:val="none" w:sz="0" w:space="0" w:color="auto"/>
            <w:bottom w:val="none" w:sz="0" w:space="0" w:color="auto"/>
            <w:right w:val="none" w:sz="0" w:space="0" w:color="auto"/>
          </w:divBdr>
        </w:div>
        <w:div w:id="1916624062">
          <w:marLeft w:val="1166"/>
          <w:marRight w:val="0"/>
          <w:marTop w:val="77"/>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7547308">
      <w:bodyDiv w:val="1"/>
      <w:marLeft w:val="0"/>
      <w:marRight w:val="0"/>
      <w:marTop w:val="0"/>
      <w:marBottom w:val="0"/>
      <w:divBdr>
        <w:top w:val="none" w:sz="0" w:space="0" w:color="auto"/>
        <w:left w:val="none" w:sz="0" w:space="0" w:color="auto"/>
        <w:bottom w:val="none" w:sz="0" w:space="0" w:color="auto"/>
        <w:right w:val="none" w:sz="0" w:space="0" w:color="auto"/>
      </w:divBdr>
      <w:divsChild>
        <w:div w:id="1614510172">
          <w:marLeft w:val="547"/>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498105872">
      <w:bodyDiv w:val="1"/>
      <w:marLeft w:val="0"/>
      <w:marRight w:val="0"/>
      <w:marTop w:val="0"/>
      <w:marBottom w:val="0"/>
      <w:divBdr>
        <w:top w:val="none" w:sz="0" w:space="0" w:color="auto"/>
        <w:left w:val="none" w:sz="0" w:space="0" w:color="auto"/>
        <w:bottom w:val="none" w:sz="0" w:space="0" w:color="auto"/>
        <w:right w:val="none" w:sz="0" w:space="0" w:color="auto"/>
      </w:divBdr>
      <w:divsChild>
        <w:div w:id="1511485136">
          <w:marLeft w:val="1166"/>
          <w:marRight w:val="0"/>
          <w:marTop w:val="67"/>
          <w:marBottom w:val="0"/>
          <w:divBdr>
            <w:top w:val="none" w:sz="0" w:space="0" w:color="auto"/>
            <w:left w:val="none" w:sz="0" w:space="0" w:color="auto"/>
            <w:bottom w:val="none" w:sz="0" w:space="0" w:color="auto"/>
            <w:right w:val="none" w:sz="0" w:space="0" w:color="auto"/>
          </w:divBdr>
        </w:div>
        <w:div w:id="1699314809">
          <w:marLeft w:val="1800"/>
          <w:marRight w:val="0"/>
          <w:marTop w:val="67"/>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54673332">
      <w:bodyDiv w:val="1"/>
      <w:marLeft w:val="0"/>
      <w:marRight w:val="0"/>
      <w:marTop w:val="0"/>
      <w:marBottom w:val="0"/>
      <w:divBdr>
        <w:top w:val="none" w:sz="0" w:space="0" w:color="auto"/>
        <w:left w:val="none" w:sz="0" w:space="0" w:color="auto"/>
        <w:bottom w:val="none" w:sz="0" w:space="0" w:color="auto"/>
        <w:right w:val="none" w:sz="0" w:space="0" w:color="auto"/>
      </w:divBdr>
      <w:divsChild>
        <w:div w:id="1079671903">
          <w:marLeft w:val="1166"/>
          <w:marRight w:val="0"/>
          <w:marTop w:val="67"/>
          <w:marBottom w:val="0"/>
          <w:divBdr>
            <w:top w:val="none" w:sz="0" w:space="0" w:color="auto"/>
            <w:left w:val="none" w:sz="0" w:space="0" w:color="auto"/>
            <w:bottom w:val="none" w:sz="0" w:space="0" w:color="auto"/>
            <w:right w:val="none" w:sz="0" w:space="0" w:color="auto"/>
          </w:divBdr>
        </w:div>
      </w:divsChild>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6747878">
      <w:bodyDiv w:val="1"/>
      <w:marLeft w:val="0"/>
      <w:marRight w:val="0"/>
      <w:marTop w:val="0"/>
      <w:marBottom w:val="0"/>
      <w:divBdr>
        <w:top w:val="none" w:sz="0" w:space="0" w:color="auto"/>
        <w:left w:val="none" w:sz="0" w:space="0" w:color="auto"/>
        <w:bottom w:val="none" w:sz="0" w:space="0" w:color="auto"/>
        <w:right w:val="none" w:sz="0" w:space="0" w:color="auto"/>
      </w:divBdr>
      <w:divsChild>
        <w:div w:id="910701782">
          <w:marLeft w:val="547"/>
          <w:marRight w:val="0"/>
          <w:marTop w:val="77"/>
          <w:marBottom w:val="0"/>
          <w:divBdr>
            <w:top w:val="none" w:sz="0" w:space="0" w:color="auto"/>
            <w:left w:val="none" w:sz="0" w:space="0" w:color="auto"/>
            <w:bottom w:val="none" w:sz="0" w:space="0" w:color="auto"/>
            <w:right w:val="none" w:sz="0" w:space="0" w:color="auto"/>
          </w:divBdr>
        </w:div>
        <w:div w:id="1687125615">
          <w:marLeft w:val="1166"/>
          <w:marRight w:val="0"/>
          <w:marTop w:val="67"/>
          <w:marBottom w:val="0"/>
          <w:divBdr>
            <w:top w:val="none" w:sz="0" w:space="0" w:color="auto"/>
            <w:left w:val="none" w:sz="0" w:space="0" w:color="auto"/>
            <w:bottom w:val="none" w:sz="0" w:space="0" w:color="auto"/>
            <w:right w:val="none" w:sz="0" w:space="0" w:color="auto"/>
          </w:divBdr>
        </w:div>
        <w:div w:id="873614524">
          <w:marLeft w:val="1166"/>
          <w:marRight w:val="0"/>
          <w:marTop w:val="67"/>
          <w:marBottom w:val="0"/>
          <w:divBdr>
            <w:top w:val="none" w:sz="0" w:space="0" w:color="auto"/>
            <w:left w:val="none" w:sz="0" w:space="0" w:color="auto"/>
            <w:bottom w:val="none" w:sz="0" w:space="0" w:color="auto"/>
            <w:right w:val="none" w:sz="0" w:space="0" w:color="auto"/>
          </w:divBdr>
        </w:div>
        <w:div w:id="608583727">
          <w:marLeft w:val="1166"/>
          <w:marRight w:val="0"/>
          <w:marTop w:val="67"/>
          <w:marBottom w:val="0"/>
          <w:divBdr>
            <w:top w:val="none" w:sz="0" w:space="0" w:color="auto"/>
            <w:left w:val="none" w:sz="0" w:space="0" w:color="auto"/>
            <w:bottom w:val="none" w:sz="0" w:space="0" w:color="auto"/>
            <w:right w:val="none" w:sz="0" w:space="0" w:color="auto"/>
          </w:divBdr>
        </w:div>
      </w:divsChild>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D87BD-FA62-4EE5-A399-6F39D5845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infopath/2007/PartnerControls"/>
    <ds:schemaRef ds:uri="http://schemas.microsoft.com/sharepoint/v4"/>
    <ds:schemaRef ds:uri="9238aee7-caa6-41e3-83d0-457e088803cc"/>
    <ds:schemaRef ds:uri="http://purl.org/dc/elements/1.1/"/>
    <ds:schemaRef ds:uri="81c2d00d-6e98-4ecf-9fde-812538fb8530"/>
    <ds:schemaRef ds:uri="http://schemas.microsoft.com/office/2006/metadata/properties"/>
    <ds:schemaRef ds:uri="http://purl.org/dc/terms/"/>
    <ds:schemaRef ds:uri="http://www.w3.org/XML/1998/namespace"/>
    <ds:schemaRef ds:uri="http://schemas.microsoft.com/office/2006/documentManagement/typ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D8556A0C-90DC-4EBD-93D6-2ABC5C467C4B}">
  <ds:schemaRefs>
    <ds:schemaRef ds:uri="http://schemas.openxmlformats.org/officeDocument/2006/bibliography"/>
  </ds:schemaRefs>
</ds:datastoreItem>
</file>

<file path=customXml/itemProps5.xml><?xml version="1.0" encoding="utf-8"?>
<ds:datastoreItem xmlns:ds="http://schemas.openxmlformats.org/officeDocument/2006/customXml" ds:itemID="{147437E8-E3E8-4DA2-ACFD-032BCF181BE0}">
  <ds:schemaRefs>
    <ds:schemaRef ds:uri="http://schemas.openxmlformats.org/officeDocument/2006/bibliography"/>
  </ds:schemaRefs>
</ds:datastoreItem>
</file>

<file path=customXml/itemProps6.xml><?xml version="1.0" encoding="utf-8"?>
<ds:datastoreItem xmlns:ds="http://schemas.openxmlformats.org/officeDocument/2006/customXml" ds:itemID="{9FFD817C-42FA-40D4-9034-DF641CF33A3A}">
  <ds:schemaRefs>
    <ds:schemaRef ds:uri="http://schemas.openxmlformats.org/officeDocument/2006/bibliography"/>
  </ds:schemaRefs>
</ds:datastoreItem>
</file>

<file path=customXml/itemProps7.xml><?xml version="1.0" encoding="utf-8"?>
<ds:datastoreItem xmlns:ds="http://schemas.openxmlformats.org/officeDocument/2006/customXml" ds:itemID="{47246839-DB80-489D-80D8-69A1231D8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11</Pages>
  <Words>4695</Words>
  <Characters>26765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31398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Roy Chen (陳儒雅)</cp:lastModifiedBy>
  <cp:revision>5</cp:revision>
  <cp:lastPrinted>2016-11-09T12:39:00Z</cp:lastPrinted>
  <dcterms:created xsi:type="dcterms:W3CDTF">2019-10-07T07:06:00Z</dcterms:created>
  <dcterms:modified xsi:type="dcterms:W3CDTF">2019-10-07T07:52:00Z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